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9" w:leftChars="1" w:right="50" w:rightChars="24" w:hanging="177" w:hangingChars="59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附件一：</w:t>
      </w:r>
    </w:p>
    <w:p>
      <w:pPr>
        <w:ind w:left="178" w:leftChars="85" w:right="50" w:rightChars="24" w:firstLine="360" w:firstLineChars="100"/>
        <w:jc w:val="center"/>
        <w:rPr>
          <w:rFonts w:hint="eastAsia" w:ascii="方正大标宋简体" w:hAnsi="宋体" w:eastAsia="方正大标宋简体"/>
          <w:b/>
          <w:sz w:val="36"/>
          <w:szCs w:val="36"/>
        </w:rPr>
      </w:pPr>
      <w:r>
        <w:rPr>
          <w:rFonts w:hint="eastAsia" w:ascii="方正大标宋简体" w:hAnsi="宋体" w:eastAsia="方正大标宋简体"/>
          <w:b/>
          <w:sz w:val="36"/>
          <w:szCs w:val="36"/>
        </w:rPr>
        <w:t>江苏省第十二届大学生知识竞赛（理工科组）方案</w:t>
      </w:r>
    </w:p>
    <w:p>
      <w:pPr>
        <w:spacing w:before="156" w:beforeLines="50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文理融会打造通识教育，多元并举培养创新人才。为激发理工科大学生学习人文社科知识的热情，提高理工科大学生人文素养，决定开展江苏省第十二届大学生知识竞赛（理工科组）。执行如下竞赛方案：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一、参赛对象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全省普通高等学校（含驻苏军事院校、民办高校）</w:t>
      </w:r>
      <w:r>
        <w:rPr>
          <w:rFonts w:hint="eastAsia" w:ascii="仿宋_GB2312" w:hAnsi="楷体_GB2312" w:eastAsia="仿宋_GB2312" w:cs="楷体_GB2312"/>
          <w:b/>
          <w:sz w:val="30"/>
          <w:szCs w:val="30"/>
        </w:rPr>
        <w:t>理工科类</w:t>
      </w:r>
      <w:r>
        <w:rPr>
          <w:rFonts w:hint="eastAsia" w:ascii="仿宋_GB2312" w:hAnsi="楷体_GB2312" w:eastAsia="仿宋_GB2312" w:cs="楷体_GB2312"/>
          <w:sz w:val="30"/>
          <w:szCs w:val="30"/>
        </w:rPr>
        <w:t>专业的全日制在校生、成人高校</w:t>
      </w:r>
      <w:r>
        <w:rPr>
          <w:rFonts w:hint="eastAsia" w:ascii="仿宋_GB2312" w:hAnsi="楷体_GB2312" w:eastAsia="仿宋_GB2312" w:cs="楷体_GB2312"/>
          <w:b/>
          <w:sz w:val="30"/>
          <w:szCs w:val="30"/>
        </w:rPr>
        <w:t>理工科类</w:t>
      </w:r>
      <w:r>
        <w:rPr>
          <w:rFonts w:hint="eastAsia" w:ascii="仿宋_GB2312" w:hAnsi="楷体_GB2312" w:eastAsia="仿宋_GB2312" w:cs="楷体_GB2312"/>
          <w:sz w:val="30"/>
          <w:szCs w:val="30"/>
        </w:rPr>
        <w:t>专业的全日制普通生和五年制高职</w:t>
      </w:r>
      <w:r>
        <w:rPr>
          <w:rFonts w:hint="eastAsia" w:ascii="仿宋_GB2312" w:hAnsi="楷体_GB2312" w:eastAsia="仿宋_GB2312" w:cs="楷体_GB2312"/>
          <w:b/>
          <w:sz w:val="30"/>
          <w:szCs w:val="30"/>
        </w:rPr>
        <w:t>理工科类</w:t>
      </w:r>
      <w:r>
        <w:rPr>
          <w:rFonts w:hint="eastAsia" w:ascii="仿宋_GB2312" w:hAnsi="楷体_GB2312" w:eastAsia="仿宋_GB2312" w:cs="楷体_GB2312"/>
          <w:sz w:val="30"/>
          <w:szCs w:val="30"/>
        </w:rPr>
        <w:t>专业的后两年在校生。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二、组织方式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bCs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1．江苏省高等教育学会主办，省教育厅有关处室指导。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bCs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2．以高校为单位集中报名，组织学生参赛。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三、组织机构及职责</w:t>
      </w:r>
    </w:p>
    <w:p>
      <w:pPr>
        <w:spacing w:line="560" w:lineRule="exact"/>
        <w:ind w:firstLine="602" w:firstLineChars="20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（一）江苏省大学生知识竞赛组委会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1．组委会成员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组委会主任委员：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丁晓昌 江苏省高等教育学会会长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组委会委员：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袁靖宇 江苏省教育考试院院长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刘克勇 江苏省教育厅职业教育处处长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邵  进 江苏省教育厅高等教育处处长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kern w:val="0"/>
          <w:sz w:val="30"/>
          <w:szCs w:val="30"/>
        </w:rPr>
        <w:t>许正亚 江苏</w:t>
      </w:r>
      <w:r>
        <w:rPr>
          <w:rFonts w:hint="eastAsia" w:ascii="仿宋_GB2312" w:hAnsi="楷体_GB2312" w:eastAsia="仿宋_GB2312" w:cs="楷体_GB2312"/>
          <w:sz w:val="30"/>
          <w:szCs w:val="30"/>
        </w:rPr>
        <w:t>省教育厅高校学生处处长</w:t>
      </w:r>
    </w:p>
    <w:p>
      <w:pPr>
        <w:spacing w:line="560" w:lineRule="exact"/>
        <w:ind w:firstLine="6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孙其华 江苏教育报刊总社社长</w:t>
      </w:r>
    </w:p>
    <w:p>
      <w:pPr>
        <w:spacing w:line="560" w:lineRule="exact"/>
        <w:ind w:firstLine="6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李  苏 江苏省广电总台教育频道总监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王庆运 江苏省高等教育学会副会长、JYPC全国职业资格考试认证中心主任</w:t>
      </w:r>
    </w:p>
    <w:p>
      <w:pPr>
        <w:spacing w:line="560" w:lineRule="exact"/>
        <w:ind w:firstLine="6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葛传宝 上海国致集团有限公司副董事长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吴立保 江苏省高等教育学会秘书长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2.组委会职责：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筹集经费；推动高校进行竞赛的组织报名工作；决定竞赛重大事项，包括竞赛方案、竞赛规则、评奖原则、竞赛安排等；协调相关部门；确定获奖名单、颁发获奖证书和奖金等。</w:t>
      </w:r>
    </w:p>
    <w:p>
      <w:pPr>
        <w:spacing w:line="560" w:lineRule="exact"/>
        <w:ind w:firstLine="602" w:firstLineChars="20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（二）组委会办公室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1．办公室主任：吴立保；副主任：赵亚萍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2．办公室的职责：</w:t>
      </w:r>
    </w:p>
    <w:p>
      <w:pPr>
        <w:spacing w:line="560" w:lineRule="exact"/>
        <w:ind w:firstLine="600" w:firstLineChars="20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办公室在组委会领导下，处理日常事务，具体负责制定考试大纲、组织命题、印制试卷、安排考务、评判试卷、根据考试结果提出获奖人选名单等。</w:t>
      </w:r>
    </w:p>
    <w:p>
      <w:pPr>
        <w:pStyle w:val="2"/>
        <w:spacing w:line="560" w:lineRule="exact"/>
        <w:ind w:left="0" w:firstLine="602" w:firstLineChars="200"/>
        <w:jc w:val="left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（三）参赛高校</w:t>
      </w:r>
    </w:p>
    <w:p>
      <w:pPr>
        <w:spacing w:line="560" w:lineRule="exact"/>
        <w:ind w:firstLine="57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学校负责宣传；动员和组织报名；安排考点、考场和组织笔试；选派巡视员等。</w:t>
      </w:r>
    </w:p>
    <w:p>
      <w:pPr>
        <w:spacing w:line="560" w:lineRule="exact"/>
        <w:ind w:firstLine="57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建议竞赛的宣传发动、组织报名等工作由学生工作部门负责，考务工作等由教务部门负责。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四、奖项设置</w:t>
      </w:r>
    </w:p>
    <w:p>
      <w:pPr>
        <w:spacing w:line="560" w:lineRule="exact"/>
        <w:ind w:firstLine="596" w:firstLineChars="198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（一）优秀个人奖</w:t>
      </w:r>
    </w:p>
    <w:p>
      <w:pPr>
        <w:spacing w:line="560" w:lineRule="exact"/>
        <w:ind w:firstLine="594" w:firstLineChars="198"/>
        <w:jc w:val="left"/>
        <w:rPr>
          <w:rFonts w:hint="eastAsia" w:ascii="仿宋_GB2312" w:hAnsi="楷体_GB2312" w:eastAsia="仿宋_GB2312" w:cs="楷体_GB2312"/>
          <w:bCs/>
          <w:sz w:val="30"/>
          <w:szCs w:val="30"/>
        </w:rPr>
      </w:pPr>
      <w:r>
        <w:rPr>
          <w:rFonts w:hint="eastAsia" w:ascii="仿宋_GB2312" w:hAnsi="楷体_GB2312" w:eastAsia="仿宋_GB2312" w:cs="楷体_GB2312"/>
          <w:bCs/>
          <w:sz w:val="30"/>
          <w:szCs w:val="30"/>
        </w:rPr>
        <w:t>每五万参赛人数为一组，每组设置奖项如下：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1．特等奖：1名，颁发获奖证书和奖杯，并奖人民币10000元，</w:t>
      </w:r>
      <w:r>
        <w:rPr>
          <w:rFonts w:hint="eastAsia" w:ascii="仿宋_GB2312" w:hAnsi="宋体" w:eastAsia="仿宋_GB2312"/>
          <w:sz w:val="30"/>
          <w:szCs w:val="30"/>
        </w:rPr>
        <w:t>并</w:t>
      </w:r>
      <w:r>
        <w:rPr>
          <w:rFonts w:hint="eastAsia" w:ascii="仿宋" w:hAnsi="仿宋" w:eastAsia="仿宋" w:cs="微软雅黑"/>
          <w:color w:val="333333"/>
          <w:kern w:val="0"/>
          <w:sz w:val="30"/>
          <w:szCs w:val="30"/>
        </w:rPr>
        <w:t>授予“JYPC人文社科知识水平（特级）”证书</w:t>
      </w:r>
      <w:r>
        <w:rPr>
          <w:rFonts w:hint="eastAsia" w:ascii="仿宋_GB2312" w:hAnsi="楷体_GB2312" w:eastAsia="仿宋_GB2312" w:cs="楷体_GB2312"/>
          <w:sz w:val="30"/>
          <w:szCs w:val="30"/>
        </w:rPr>
        <w:t>。</w:t>
      </w:r>
    </w:p>
    <w:p>
      <w:pPr>
        <w:spacing w:line="560" w:lineRule="exact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 xml:space="preserve">    2．一等奖：10名，颁发获奖证书和奖杯，奖人民币1000元 ，其中参加决赛获得前三名奖励人民币2000-4000元不等，</w:t>
      </w:r>
      <w:r>
        <w:rPr>
          <w:rFonts w:hint="eastAsia" w:ascii="仿宋_GB2312" w:hAnsi="宋体" w:eastAsia="仿宋_GB2312"/>
          <w:sz w:val="30"/>
          <w:szCs w:val="30"/>
        </w:rPr>
        <w:t>并颁发</w:t>
      </w:r>
      <w:r>
        <w:rPr>
          <w:rFonts w:hint="eastAsia" w:ascii="仿宋" w:hAnsi="仿宋" w:eastAsia="仿宋" w:cs="微软雅黑"/>
          <w:kern w:val="0"/>
          <w:sz w:val="30"/>
          <w:szCs w:val="30"/>
        </w:rPr>
        <w:t>“JYPC</w:t>
      </w:r>
      <w:r>
        <w:rPr>
          <w:rFonts w:hint="eastAsia" w:ascii="仿宋" w:hAnsi="仿宋" w:eastAsia="仿宋" w:cs="微软雅黑"/>
          <w:color w:val="333333"/>
          <w:kern w:val="0"/>
          <w:sz w:val="30"/>
          <w:szCs w:val="30"/>
        </w:rPr>
        <w:t>人文社科</w:t>
      </w:r>
      <w:r>
        <w:rPr>
          <w:rFonts w:hint="eastAsia" w:ascii="仿宋" w:hAnsi="仿宋" w:eastAsia="仿宋" w:cs="微软雅黑"/>
          <w:kern w:val="0"/>
          <w:sz w:val="30"/>
          <w:szCs w:val="30"/>
        </w:rPr>
        <w:t>知识水平（特级）”证书</w:t>
      </w:r>
      <w:r>
        <w:rPr>
          <w:rFonts w:hint="eastAsia" w:ascii="仿宋_GB2312" w:hAnsi="楷体_GB2312" w:eastAsia="仿宋_GB2312" w:cs="楷体_GB2312"/>
          <w:sz w:val="30"/>
          <w:szCs w:val="30"/>
        </w:rPr>
        <w:t>。</w:t>
      </w:r>
    </w:p>
    <w:p>
      <w:pPr>
        <w:spacing w:line="560" w:lineRule="exact"/>
        <w:ind w:firstLine="597" w:firstLineChars="199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3．二等奖：100名，颁发获奖证书，并奖人民币300元，</w:t>
      </w:r>
      <w:r>
        <w:rPr>
          <w:rFonts w:hint="eastAsia" w:ascii="仿宋_GB2312" w:hAnsi="宋体" w:eastAsia="仿宋_GB2312"/>
          <w:sz w:val="30"/>
          <w:szCs w:val="30"/>
        </w:rPr>
        <w:t>并颁发</w:t>
      </w:r>
      <w:r>
        <w:rPr>
          <w:rFonts w:hint="eastAsia" w:ascii="仿宋" w:hAnsi="仿宋" w:eastAsia="仿宋" w:cs="微软雅黑"/>
          <w:kern w:val="0"/>
          <w:sz w:val="30"/>
          <w:szCs w:val="30"/>
        </w:rPr>
        <w:t xml:space="preserve"> “JYPC</w:t>
      </w:r>
      <w:r>
        <w:rPr>
          <w:rFonts w:hint="eastAsia" w:ascii="仿宋" w:hAnsi="仿宋" w:eastAsia="仿宋" w:cs="微软雅黑"/>
          <w:color w:val="333333"/>
          <w:kern w:val="0"/>
          <w:sz w:val="30"/>
          <w:szCs w:val="30"/>
        </w:rPr>
        <w:t>人文社科</w:t>
      </w:r>
      <w:r>
        <w:rPr>
          <w:rFonts w:hint="eastAsia" w:ascii="仿宋" w:hAnsi="仿宋" w:eastAsia="仿宋" w:cs="微软雅黑"/>
          <w:kern w:val="0"/>
          <w:sz w:val="30"/>
          <w:szCs w:val="30"/>
        </w:rPr>
        <w:t>知识水平（高级）”证书</w:t>
      </w:r>
      <w:r>
        <w:rPr>
          <w:rFonts w:hint="eastAsia" w:ascii="仿宋_GB2312" w:hAnsi="楷体_GB2312" w:eastAsia="仿宋_GB2312" w:cs="楷体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4．三等奖：800名，颁发获奖证书，</w:t>
      </w:r>
      <w:r>
        <w:rPr>
          <w:rFonts w:hint="eastAsia" w:ascii="仿宋_GB2312" w:hAnsi="宋体" w:eastAsia="仿宋_GB2312"/>
          <w:sz w:val="30"/>
          <w:szCs w:val="30"/>
        </w:rPr>
        <w:t>并颁发</w:t>
      </w:r>
      <w:r>
        <w:rPr>
          <w:rFonts w:hint="eastAsia" w:ascii="仿宋" w:hAnsi="仿宋" w:eastAsia="仿宋" w:cs="微软雅黑"/>
          <w:kern w:val="0"/>
          <w:sz w:val="30"/>
          <w:szCs w:val="30"/>
        </w:rPr>
        <w:t>“JYPC人文社科知识水平（中级）”证书</w:t>
      </w:r>
      <w:r>
        <w:rPr>
          <w:rFonts w:hint="eastAsia" w:ascii="仿宋_GB2312" w:hAnsi="楷体_GB2312" w:eastAsia="仿宋_GB2312" w:cs="楷体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5．优秀奖：4000名左右，颁发获奖证书。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bCs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bCs/>
          <w:sz w:val="30"/>
          <w:szCs w:val="30"/>
        </w:rPr>
        <w:t>（二）优秀学校奖</w:t>
      </w:r>
    </w:p>
    <w:p>
      <w:pPr>
        <w:spacing w:line="560" w:lineRule="exact"/>
        <w:ind w:firstLine="588" w:firstLineChars="196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bCs/>
          <w:sz w:val="30"/>
          <w:szCs w:val="30"/>
        </w:rPr>
        <w:t>设优秀学校奖</w:t>
      </w:r>
      <w:r>
        <w:rPr>
          <w:rFonts w:hint="eastAsia" w:ascii="仿宋_GB2312" w:hAnsi="楷体_GB2312" w:eastAsia="仿宋_GB2312" w:cs="楷体_GB2312"/>
          <w:sz w:val="30"/>
          <w:szCs w:val="30"/>
        </w:rPr>
        <w:t>20名，颁发奖牌。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（三）优秀组织奖</w:t>
      </w:r>
    </w:p>
    <w:p>
      <w:pPr>
        <w:spacing w:line="560" w:lineRule="exact"/>
        <w:jc w:val="left"/>
        <w:outlineLvl w:val="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 xml:space="preserve">    设优秀组织奖20名，颁发奖牌。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（四）优秀组织管理者奖</w:t>
      </w:r>
    </w:p>
    <w:p>
      <w:pPr>
        <w:spacing w:line="560" w:lineRule="exact"/>
        <w:ind w:firstLine="600" w:firstLineChars="200"/>
        <w:jc w:val="left"/>
        <w:outlineLvl w:val="0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设优秀组织管理者奖50名，颁发获奖证书,并颁发“JYPC</w:t>
      </w:r>
      <w:r>
        <w:rPr>
          <w:rFonts w:hint="eastAsia" w:ascii="仿宋" w:hAnsi="仿宋" w:eastAsia="仿宋" w:cs="微软雅黑"/>
          <w:kern w:val="0"/>
          <w:sz w:val="32"/>
          <w:szCs w:val="32"/>
        </w:rPr>
        <w:t>高级教育咨询师”证书。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五、竞赛范围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1．中学教材中已经学过的人文社会科学知识占60％左右，其它相关人文社会科学知识占40％左右。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2．竞赛的知识范围包括哲学、文学（含语言文字）、历史、法律、经济、艺术、国情、地理等知识。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3．以考查知识面为主；以常识题为主；不考偏题、怪题；笔试题目全部为客观题。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4．本次竞赛推荐的参考书为中学的人文科学课本和《大学生人文社科知识读本》（江苏省高等教育学会组织编写，苏州大学出版社出版），也可少量选用有关的工具书和合适的人文科学读物。</w:t>
      </w:r>
    </w:p>
    <w:p>
      <w:pPr>
        <w:spacing w:line="560" w:lineRule="exact"/>
        <w:ind w:firstLine="602" w:firstLineChars="200"/>
        <w:outlineLvl w:val="0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六、竞赛的形式与方法</w:t>
      </w:r>
    </w:p>
    <w:p>
      <w:pPr>
        <w:pStyle w:val="3"/>
        <w:spacing w:line="560" w:lineRule="exac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本次竞赛分初赛和决赛两个阶段。竞赛形式和评判方法分别如下：</w:t>
      </w:r>
    </w:p>
    <w:p>
      <w:pPr>
        <w:pStyle w:val="3"/>
        <w:spacing w:line="560" w:lineRule="exact"/>
        <w:ind w:firstLine="602"/>
        <w:outlineLvl w:val="0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1.初赛</w:t>
      </w:r>
    </w:p>
    <w:p>
      <w:pPr>
        <w:pStyle w:val="3"/>
        <w:spacing w:line="560" w:lineRule="exac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初赛以闭卷笔试的形式进行，总分400分，题量200题，时间2小时。具体为判断题50题，每题1分，答对加分，答错不扣分；单项选择题100题，每题2分；多项选择题50题，每题3分，选项全部选对得3分，选对但不全得1分，不选或选错不得分。</w:t>
      </w:r>
    </w:p>
    <w:p>
      <w:pPr>
        <w:pStyle w:val="3"/>
        <w:spacing w:line="560" w:lineRule="exact"/>
        <w:ind w:firstLine="602"/>
        <w:outlineLvl w:val="0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2.决赛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决赛以口试形式在江苏教育频道进行，由本科院校笔试前7名同学和专科院校笔试前2名同学共9名同学组成。但入围决赛本科每所学校不超过2人，如果同一学校排名超过2人只入围前2名，专科院校每所学校不超过1人，如果同一学校排名超过1人，只入围前1名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通过决赛产生特等奖及一等奖的前三名，现场颁发获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奖证书。每位参赛选手的所在高校可在参加初赛的选手中挑选若干人（具体人数决赛前通知）组成助赛方阵，到现场观赛、助赛。</w:t>
      </w:r>
    </w:p>
    <w:p>
      <w:pPr>
        <w:spacing w:line="560" w:lineRule="exact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 xml:space="preserve">    七、竞赛时间安排</w:t>
      </w:r>
    </w:p>
    <w:p>
      <w:pPr>
        <w:spacing w:line="560" w:lineRule="exact"/>
        <w:ind w:firstLine="600" w:firstLineChars="200"/>
        <w:jc w:val="left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楷体_GB2312" w:eastAsia="仿宋_GB2312" w:cs="楷体_GB2312"/>
          <w:bCs/>
          <w:sz w:val="30"/>
          <w:szCs w:val="30"/>
        </w:rPr>
        <w:t>笔试时间：2020年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11月28日14:00-16:00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bCs/>
          <w:sz w:val="30"/>
          <w:szCs w:val="30"/>
        </w:rPr>
      </w:pPr>
      <w:r>
        <w:rPr>
          <w:rFonts w:hint="eastAsia" w:ascii="仿宋_GB2312" w:hAnsi="楷体_GB2312" w:eastAsia="仿宋_GB2312" w:cs="楷体_GB2312"/>
          <w:bCs/>
          <w:sz w:val="30"/>
          <w:szCs w:val="30"/>
        </w:rPr>
        <w:t>决赛时间：</w:t>
      </w:r>
      <w:r>
        <w:rPr>
          <w:rFonts w:hint="eastAsia" w:ascii="仿宋_GB2312" w:hAnsi="宋体" w:eastAsia="仿宋_GB2312"/>
          <w:sz w:val="30"/>
          <w:szCs w:val="30"/>
        </w:rPr>
        <w:t>具体时间另行通知</w:t>
      </w:r>
      <w:bookmarkStart w:id="0" w:name="_GoBack"/>
      <w:bookmarkEnd w:id="0"/>
    </w:p>
    <w:p>
      <w:pPr>
        <w:spacing w:line="560" w:lineRule="exact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 xml:space="preserve">    八、评选方式</w:t>
      </w:r>
    </w:p>
    <w:p>
      <w:pPr>
        <w:spacing w:line="560" w:lineRule="exact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 xml:space="preserve">    1.专科与本科使用相同试卷，分别评选。各等次的奖项按本科、专科参赛人数的比例划分。特等奖不分本科、专科。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2.优秀学校奖以学校的生均分值进行排序。生均分值S=Z/M的计算方法：分母M为学校理工科专业在校生数的10％，分子Z为该校参赛学生中得分在前M位的人的得分总和。其商Z/M即为生均分值。生均分值列入本、专科前10位的学校获优秀学校奖。参赛人数不足该校理工科专业学生数10％的学校，不得参加优秀学校奖的评选，但仍按生均分值参加排名，其生均分值的分子Z为全部参赛人数得分的总和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3.优秀组织奖由组委会根据各学校的参赛率（参赛人数与理工科在校生总数之比）、报名误差率、考场纪律和学校开展自然科学知识竞赛工作创意情况等综合评选。凡在竞赛中有学生作弊的学校取消优秀组织奖。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4.优秀组织管理者由各参赛学校推荐，组委会办公室根据各参赛学校的报名、考务组织、学生成绩、有特色与创新的组织竞赛等情况综合评选。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八、严格考风考纪</w:t>
      </w:r>
    </w:p>
    <w:p>
      <w:pPr>
        <w:spacing w:line="560" w:lineRule="exact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 xml:space="preserve">    个人作弊的取消个人评奖资格，学校涉及大面积作弊的取消全部评奖资格。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九、竞赛经费的筹集</w:t>
      </w:r>
    </w:p>
    <w:p>
      <w:pPr>
        <w:spacing w:line="560" w:lineRule="exact"/>
        <w:ind w:firstLine="594" w:firstLineChars="198"/>
        <w:jc w:val="left"/>
        <w:rPr>
          <w:rFonts w:hint="eastAsia" w:ascii="仿宋_GB2312" w:hAnsi="楷体_GB2312" w:eastAsia="仿宋_GB2312" w:cs="楷体_GB2312"/>
          <w:bCs/>
          <w:sz w:val="30"/>
          <w:szCs w:val="30"/>
        </w:rPr>
      </w:pPr>
      <w:r>
        <w:rPr>
          <w:rFonts w:hint="eastAsia" w:ascii="仿宋_GB2312" w:hAnsi="楷体_GB2312" w:eastAsia="仿宋_GB2312" w:cs="楷体_GB2312"/>
          <w:bCs/>
          <w:sz w:val="30"/>
          <w:szCs w:val="30"/>
        </w:rPr>
        <w:t>1.教育厅有关处室提供部分资助。</w:t>
      </w:r>
    </w:p>
    <w:p>
      <w:pPr>
        <w:spacing w:line="560" w:lineRule="exact"/>
        <w:ind w:firstLine="594" w:firstLineChars="198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bCs/>
          <w:sz w:val="30"/>
          <w:szCs w:val="30"/>
        </w:rPr>
        <w:t>2.各高校为</w:t>
      </w:r>
      <w:r>
        <w:rPr>
          <w:rFonts w:hint="eastAsia" w:ascii="仿宋_GB2312" w:hAnsi="楷体_GB2312" w:eastAsia="仿宋_GB2312" w:cs="楷体_GB2312"/>
          <w:sz w:val="30"/>
          <w:szCs w:val="30"/>
        </w:rPr>
        <w:t>每一位参加竞赛的学生向组委会提供10元成本费。</w:t>
      </w:r>
    </w:p>
    <w:p>
      <w:pPr>
        <w:spacing w:line="560" w:lineRule="exact"/>
        <w:ind w:firstLine="594" w:firstLineChars="198"/>
        <w:jc w:val="left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bCs/>
          <w:sz w:val="30"/>
          <w:szCs w:val="30"/>
        </w:rPr>
        <w:t>3.社会组织提供赞助，包括各高等学校申请协办单位提供的部分经费。</w:t>
      </w:r>
    </w:p>
    <w:p>
      <w:pPr>
        <w:spacing w:line="560" w:lineRule="exact"/>
        <w:ind w:firstLine="602" w:firstLineChars="200"/>
        <w:jc w:val="left"/>
        <w:outlineLvl w:val="0"/>
        <w:rPr>
          <w:rFonts w:hint="eastAsia" w:ascii="仿宋_GB2312" w:hAnsi="楷体_GB2312" w:eastAsia="仿宋_GB2312" w:cs="楷体_GB2312"/>
          <w:b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30"/>
          <w:szCs w:val="30"/>
        </w:rPr>
        <w:t>十一、附则</w:t>
      </w:r>
    </w:p>
    <w:p>
      <w:pPr>
        <w:spacing w:line="560" w:lineRule="exact"/>
        <w:ind w:firstLine="588" w:firstLineChars="196"/>
        <w:jc w:val="left"/>
      </w:pPr>
      <w:r>
        <w:rPr>
          <w:rFonts w:hint="eastAsia" w:ascii="仿宋_GB2312" w:hAnsi="楷体_GB2312" w:eastAsia="仿宋_GB2312" w:cs="楷体_GB2312"/>
          <w:sz w:val="30"/>
          <w:szCs w:val="30"/>
        </w:rPr>
        <w:t>本方案在实施过程中如遇新的问题，经组委会研究，可以作适当调整</w:t>
      </w:r>
      <w:r>
        <w:rPr>
          <w:rFonts w:hint="eastAsia" w:ascii="仿宋_GB2312" w:eastAsia="仿宋_GB2312"/>
          <w:sz w:val="30"/>
          <w:szCs w:val="30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E"/>
    <w:rsid w:val="0055619E"/>
    <w:rsid w:val="00F646E8"/>
    <w:rsid w:val="43D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ind w:left="720"/>
    </w:pPr>
    <w:rPr>
      <w:rFonts w:ascii="方正仿宋简体" w:eastAsia="方正仿宋简体" w:hAnsiTheme="minorHAnsi" w:cstheme="minorBidi"/>
      <w:sz w:val="28"/>
      <w:szCs w:val="28"/>
    </w:rPr>
  </w:style>
  <w:style w:type="paragraph" w:styleId="3">
    <w:name w:val="Body Text Indent 2"/>
    <w:basedOn w:val="1"/>
    <w:link w:val="9"/>
    <w:uiPriority w:val="0"/>
    <w:pPr>
      <w:spacing w:line="0" w:lineRule="atLeast"/>
      <w:ind w:firstLine="560" w:firstLineChars="200"/>
    </w:pPr>
    <w:rPr>
      <w:rFonts w:ascii="宋体" w:hAnsi="宋体" w:eastAsiaTheme="minorEastAsia" w:cstheme="minorBidi"/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正文文本缩进 Char"/>
    <w:link w:val="2"/>
    <w:uiPriority w:val="0"/>
    <w:rPr>
      <w:rFonts w:ascii="方正仿宋简体" w:eastAsia="方正仿宋简体"/>
      <w:sz w:val="28"/>
      <w:szCs w:val="28"/>
    </w:rPr>
  </w:style>
  <w:style w:type="character" w:customStyle="1" w:styleId="9">
    <w:name w:val="正文文本缩进 2 Char"/>
    <w:link w:val="3"/>
    <w:uiPriority w:val="0"/>
    <w:rPr>
      <w:rFonts w:ascii="宋体" w:hAnsi="宋体"/>
      <w:sz w:val="28"/>
      <w:szCs w:val="28"/>
    </w:rPr>
  </w:style>
  <w:style w:type="character" w:customStyle="1" w:styleId="10">
    <w:name w:val="正文文本缩进 Char1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2 Char1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脚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359</Words>
  <Characters>2052</Characters>
  <Lines>17</Lines>
  <Paragraphs>4</Paragraphs>
  <TotalTime>0</TotalTime>
  <ScaleCrop>false</ScaleCrop>
  <LinksUpToDate>false</LinksUpToDate>
  <CharactersWithSpaces>2407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2019-12-06T02:23:00Z</dcterms:created>
  <dc:creator>rong</dc:creator>
  <cp:lastModifiedBy>刘青青</cp:lastModifiedBy>
  <dcterms:modified xsi:type="dcterms:W3CDTF">2020-10-27T09:45:39Z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