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毕业资格与学位审核要求与系统操作流程</w:t>
      </w:r>
    </w:p>
    <w:p>
      <w:pPr>
        <w:jc w:val="center"/>
        <w:rPr>
          <w:rFonts w:hint="eastAsia" w:ascii="仿宋" w:hAnsi="仿宋" w:eastAsia="仿宋" w:cs="仿宋"/>
          <w:b/>
          <w:bCs/>
          <w:sz w:val="28"/>
          <w:szCs w:val="28"/>
          <w:lang w:val="en-US" w:eastAsia="zh-CN"/>
        </w:rPr>
      </w:pP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 、文件学习摘要</w:t>
      </w:r>
    </w:p>
    <w:p>
      <w:pP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毕业条件</w:t>
      </w:r>
      <w:r>
        <w:rPr>
          <w:rFonts w:hint="eastAsia" w:ascii="仿宋" w:hAnsi="仿宋" w:eastAsia="仿宋" w:cs="仿宋"/>
          <w:sz w:val="28"/>
          <w:szCs w:val="28"/>
          <w:lang w:val="en-US" w:eastAsia="zh-CN"/>
        </w:rPr>
        <w:t>：请对照应届毕业生各专业人才培养方案学分修读结构表课程体系的要求，修满课程体系的每一项（含通识教育、大类与专业基础课、专业与专业选修课、交叉与个性发展课四大板块）需要的学分方可申请毕业。</w:t>
      </w:r>
    </w:p>
    <w:p>
      <w:pP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不能毕业原因</w:t>
      </w:r>
      <w:r>
        <w:rPr>
          <w:rFonts w:hint="eastAsia" w:ascii="仿宋" w:hAnsi="仿宋" w:eastAsia="仿宋" w:cs="仿宋"/>
          <w:sz w:val="28"/>
          <w:szCs w:val="28"/>
          <w:lang w:val="en-US" w:eastAsia="zh-CN"/>
        </w:rPr>
        <w:t>：1.积欠学分者</w:t>
      </w:r>
    </w:p>
    <w:p>
      <w:pPr>
        <w:ind w:firstLine="1960" w:firstLineChars="7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2.受留校察看处分且未解除留校察看期者。</w:t>
      </w:r>
    </w:p>
    <w:p>
      <w:pP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结业条件：</w:t>
      </w:r>
      <w:r>
        <w:rPr>
          <w:rFonts w:hint="eastAsia" w:ascii="仿宋" w:hAnsi="仿宋" w:eastAsia="仿宋" w:cs="仿宋"/>
          <w:sz w:val="28"/>
          <w:szCs w:val="28"/>
          <w:lang w:val="en-US" w:eastAsia="zh-CN"/>
        </w:rPr>
        <w:t>因积欠学分不能毕业的学生。积欠学分在12学分以内（含12学分）的学生，在最长学习年限内可以回校换证，积欠学分超过12学分的不能换取毕业证书。</w:t>
      </w:r>
    </w:p>
    <w:p>
      <w:pP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学位授予</w:t>
      </w:r>
      <w:r>
        <w:rPr>
          <w:rFonts w:hint="eastAsia" w:ascii="仿宋" w:hAnsi="仿宋" w:eastAsia="仿宋" w:cs="仿宋"/>
          <w:sz w:val="28"/>
          <w:szCs w:val="28"/>
          <w:lang w:val="en-US" w:eastAsia="zh-CN"/>
        </w:rPr>
        <w:t>：</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1.获得毕业证即修满学分。</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2.平均学分绩点2.0</w:t>
      </w:r>
      <w:r>
        <w:rPr>
          <w:rFonts w:hint="eastAsia" w:ascii="仿宋" w:hAnsi="仿宋" w:eastAsia="仿宋" w:cs="仿宋"/>
          <w:b/>
          <w:bCs/>
          <w:color w:val="FF0000"/>
          <w:sz w:val="28"/>
          <w:szCs w:val="28"/>
          <w:lang w:val="en-US" w:eastAsia="zh-CN"/>
        </w:rPr>
        <w:t>及以上</w:t>
      </w:r>
      <w:r>
        <w:rPr>
          <w:rFonts w:hint="eastAsia" w:ascii="仿宋" w:hAnsi="仿宋" w:eastAsia="仿宋" w:cs="仿宋"/>
          <w:sz w:val="28"/>
          <w:szCs w:val="28"/>
          <w:lang w:val="en-US" w:eastAsia="zh-CN"/>
        </w:rPr>
        <w:t>。</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3.各专业大学英语四级成绩要求。</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①非英语专业大学外语四级成绩文科学生标准为355分及以上，理工科学生为341分及以上，音体美学生为256分及以上，体育单招学生为230分及以上。一级运动员不作要求，非体育专业的二级运动员，如在校期间参加训练且为学校做出贡献，其大学外语四级成绩按照256分标准执行。</w:t>
      </w:r>
    </w:p>
    <w:p>
      <w:pPr>
        <w:numPr>
          <w:ilvl w:val="0"/>
          <w:numId w:val="0"/>
        </w:numPr>
        <w:ind w:firstLine="560" w:firstLineChars="200"/>
        <w:rPr>
          <w:rFonts w:ascii="仿宋" w:hAnsi="仿宋" w:eastAsia="仿宋"/>
          <w:sz w:val="28"/>
          <w:szCs w:val="28"/>
        </w:rPr>
      </w:pPr>
      <w:r>
        <w:rPr>
          <w:rFonts w:hint="eastAsia" w:ascii="仿宋" w:hAnsi="仿宋" w:eastAsia="仿宋"/>
          <w:sz w:val="28"/>
          <w:szCs w:val="28"/>
        </w:rPr>
        <w:t>②受</w:t>
      </w:r>
      <w:r>
        <w:rPr>
          <w:rFonts w:ascii="仿宋" w:hAnsi="仿宋" w:eastAsia="仿宋"/>
          <w:sz w:val="28"/>
          <w:szCs w:val="28"/>
        </w:rPr>
        <w:t>疫情</w:t>
      </w:r>
      <w:r>
        <w:rPr>
          <w:rFonts w:hint="eastAsia" w:ascii="仿宋" w:hAnsi="仿宋" w:eastAsia="仿宋"/>
          <w:sz w:val="28"/>
          <w:szCs w:val="28"/>
        </w:rPr>
        <w:t>影响</w:t>
      </w:r>
      <w:r>
        <w:rPr>
          <w:rFonts w:ascii="仿宋" w:hAnsi="仿宋" w:eastAsia="仿宋"/>
          <w:sz w:val="28"/>
          <w:szCs w:val="28"/>
        </w:rPr>
        <w:t>，</w:t>
      </w:r>
      <w:r>
        <w:rPr>
          <w:rFonts w:hint="eastAsia" w:ascii="仿宋" w:hAnsi="仿宋" w:eastAsia="仿宋"/>
          <w:sz w:val="28"/>
          <w:szCs w:val="28"/>
        </w:rPr>
        <w:t>202</w:t>
      </w:r>
      <w:r>
        <w:rPr>
          <w:rFonts w:hint="eastAsia" w:ascii="仿宋" w:hAnsi="仿宋" w:eastAsia="仿宋"/>
          <w:sz w:val="28"/>
          <w:szCs w:val="28"/>
          <w:lang w:val="en-US" w:eastAsia="zh-CN"/>
        </w:rPr>
        <w:t>4</w:t>
      </w:r>
      <w:r>
        <w:rPr>
          <w:rFonts w:hint="eastAsia" w:ascii="仿宋" w:hAnsi="仿宋" w:eastAsia="仿宋"/>
          <w:sz w:val="28"/>
          <w:szCs w:val="28"/>
        </w:rPr>
        <w:t>年</w:t>
      </w:r>
      <w:r>
        <w:rPr>
          <w:rFonts w:ascii="仿宋" w:hAnsi="仿宋" w:eastAsia="仿宋"/>
          <w:sz w:val="28"/>
          <w:szCs w:val="28"/>
        </w:rPr>
        <w:t>专业英语八级</w:t>
      </w:r>
      <w:r>
        <w:rPr>
          <w:rFonts w:hint="eastAsia" w:ascii="仿宋" w:hAnsi="仿宋" w:eastAsia="仿宋"/>
          <w:sz w:val="28"/>
          <w:szCs w:val="28"/>
        </w:rPr>
        <w:t>考试</w:t>
      </w:r>
      <w:r>
        <w:rPr>
          <w:rFonts w:hint="eastAsia" w:ascii="仿宋" w:hAnsi="仿宋" w:eastAsia="仿宋"/>
          <w:sz w:val="28"/>
          <w:szCs w:val="28"/>
          <w:lang w:val="en-US" w:eastAsia="zh-CN"/>
        </w:rPr>
        <w:t>不能在审核前出成绩</w:t>
      </w:r>
      <w:r>
        <w:rPr>
          <w:rFonts w:ascii="仿宋" w:hAnsi="仿宋" w:eastAsia="仿宋"/>
          <w:sz w:val="28"/>
          <w:szCs w:val="28"/>
        </w:rPr>
        <w:t>，202</w:t>
      </w:r>
      <w:r>
        <w:rPr>
          <w:rFonts w:hint="eastAsia" w:ascii="仿宋" w:hAnsi="仿宋" w:eastAsia="仿宋"/>
          <w:sz w:val="28"/>
          <w:szCs w:val="28"/>
          <w:lang w:val="en-US" w:eastAsia="zh-CN"/>
        </w:rPr>
        <w:t>4</w:t>
      </w:r>
      <w:r>
        <w:rPr>
          <w:rFonts w:ascii="仿宋" w:hAnsi="仿宋" w:eastAsia="仿宋"/>
          <w:sz w:val="28"/>
          <w:szCs w:val="28"/>
        </w:rPr>
        <w:t>届英语专业</w:t>
      </w:r>
      <w:r>
        <w:rPr>
          <w:rFonts w:hint="eastAsia" w:ascii="仿宋" w:hAnsi="仿宋" w:eastAsia="仿宋"/>
          <w:sz w:val="28"/>
          <w:szCs w:val="28"/>
        </w:rPr>
        <w:t>毕业生</w:t>
      </w:r>
      <w:r>
        <w:rPr>
          <w:rFonts w:ascii="仿宋" w:hAnsi="仿宋" w:eastAsia="仿宋"/>
          <w:sz w:val="28"/>
          <w:szCs w:val="28"/>
        </w:rPr>
        <w:t>学士学位</w:t>
      </w:r>
      <w:r>
        <w:rPr>
          <w:rFonts w:hint="eastAsia" w:ascii="仿宋" w:hAnsi="仿宋" w:eastAsia="仿宋"/>
          <w:sz w:val="28"/>
          <w:szCs w:val="28"/>
        </w:rPr>
        <w:t>授予条件</w:t>
      </w:r>
      <w:r>
        <w:rPr>
          <w:rFonts w:ascii="仿宋" w:hAnsi="仿宋" w:eastAsia="仿宋"/>
          <w:sz w:val="28"/>
          <w:szCs w:val="28"/>
        </w:rPr>
        <w:t>不</w:t>
      </w:r>
      <w:r>
        <w:rPr>
          <w:rFonts w:hint="eastAsia" w:ascii="仿宋" w:hAnsi="仿宋" w:eastAsia="仿宋"/>
          <w:sz w:val="28"/>
          <w:szCs w:val="28"/>
        </w:rPr>
        <w:t>与</w:t>
      </w:r>
      <w:r>
        <w:rPr>
          <w:rFonts w:ascii="仿宋" w:hAnsi="仿宋" w:eastAsia="仿宋"/>
          <w:sz w:val="28"/>
          <w:szCs w:val="28"/>
        </w:rPr>
        <w:t>专业英语八级</w:t>
      </w:r>
      <w:r>
        <w:rPr>
          <w:rFonts w:hint="eastAsia" w:ascii="仿宋" w:hAnsi="仿宋" w:eastAsia="仿宋"/>
          <w:sz w:val="28"/>
          <w:szCs w:val="28"/>
        </w:rPr>
        <w:t>统考成绩</w:t>
      </w:r>
      <w:r>
        <w:rPr>
          <w:rFonts w:ascii="仿宋" w:hAnsi="仿宋" w:eastAsia="仿宋"/>
          <w:sz w:val="28"/>
          <w:szCs w:val="28"/>
        </w:rPr>
        <w:t>挂钩。</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4.在校生受记过以上处分但需要毕业前解除处分。（*）</w:t>
      </w:r>
    </w:p>
    <w:p>
      <w:pPr>
        <w:numPr>
          <w:ilvl w:val="0"/>
          <w:numId w:val="0"/>
        </w:numPr>
        <w:ind w:firstLine="562" w:firstLineChars="200"/>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以上3个条件同时满足才能申请授予学位，缺任何一项都不能授予学位，第4条针对有处分的学生。</w:t>
      </w:r>
    </w:p>
    <w:p>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5.破格授予</w:t>
      </w:r>
      <w:r>
        <w:rPr>
          <w:rFonts w:hint="eastAsia" w:ascii="仿宋" w:hAnsi="仿宋" w:eastAsia="仿宋" w:cs="仿宋"/>
          <w:sz w:val="28"/>
          <w:szCs w:val="28"/>
          <w:lang w:val="en-US" w:eastAsia="zh-CN"/>
        </w:rPr>
        <w:t>（两者只能占其一，应届毕业生）</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①大学外语四级或专业英语八级考试成绩低于本专业规定的10%之内； </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②平均学分绩点大于等于1.8且小于2.0。</w:t>
      </w:r>
    </w:p>
    <w:p>
      <w:pPr>
        <w:numPr>
          <w:ilvl w:val="0"/>
          <w:numId w:val="0"/>
        </w:numPr>
        <w:spacing w:line="360" w:lineRule="auto"/>
        <w:ind w:firstLine="560" w:firstLineChars="200"/>
        <w:rPr>
          <w:rFonts w:hint="eastAsia" w:ascii="仿宋_GB2312" w:hAnsi="宋体" w:eastAsia="仿宋_GB2312"/>
          <w:sz w:val="28"/>
          <w:szCs w:val="28"/>
        </w:rPr>
      </w:pPr>
      <w:r>
        <w:rPr>
          <w:rFonts w:hint="eastAsia" w:ascii="仿宋_GB2312" w:hAnsi="仿宋_GB2312" w:eastAsia="仿宋_GB2312" w:cs="仿宋_GB2312"/>
          <w:sz w:val="28"/>
          <w:szCs w:val="28"/>
          <w:lang w:val="en-US" w:eastAsia="zh-CN"/>
        </w:rPr>
        <w:t>6.补授</w:t>
      </w:r>
      <w:r>
        <w:rPr>
          <w:rFonts w:hint="eastAsia" w:ascii="仿宋_GB2312" w:hAnsi="宋体" w:eastAsia="仿宋_GB2312"/>
          <w:sz w:val="28"/>
          <w:szCs w:val="28"/>
        </w:rPr>
        <w:t>因</w:t>
      </w:r>
      <w:r>
        <w:rPr>
          <w:rFonts w:hint="eastAsia" w:ascii="仿宋_GB2312" w:hAnsi="宋体" w:eastAsia="仿宋_GB2312"/>
          <w:b/>
          <w:bCs/>
          <w:sz w:val="28"/>
          <w:szCs w:val="28"/>
        </w:rPr>
        <w:t>成绩原因</w:t>
      </w:r>
      <w:r>
        <w:rPr>
          <w:rFonts w:hint="eastAsia" w:ascii="仿宋_GB2312" w:hAnsi="宋体" w:eastAsia="仿宋_GB2312"/>
          <w:sz w:val="28"/>
          <w:szCs w:val="28"/>
        </w:rPr>
        <w:t>未能获得学士学位的毕业生在</w:t>
      </w:r>
      <w:r>
        <w:rPr>
          <w:rFonts w:hint="eastAsia" w:ascii="仿宋_GB2312" w:hAnsi="宋体" w:eastAsia="仿宋_GB2312"/>
          <w:sz w:val="28"/>
          <w:szCs w:val="28"/>
          <w:lang w:eastAsia="zh-CN"/>
        </w:rPr>
        <w:t>最长学习</w:t>
      </w:r>
      <w:r>
        <w:rPr>
          <w:rFonts w:hint="eastAsia" w:ascii="仿宋_GB2312" w:hAnsi="宋体" w:eastAsia="仿宋_GB2312"/>
          <w:sz w:val="28"/>
          <w:szCs w:val="28"/>
        </w:rPr>
        <w:t>年限内经本人申请，学校同意，可以返校重修相关课程，成绩达到学校学士学位授予条件，可以申请补授学位。</w:t>
      </w:r>
    </w:p>
    <w:p>
      <w:pPr>
        <w:numPr>
          <w:ilvl w:val="0"/>
          <w:numId w:val="0"/>
        </w:numPr>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时间节点：</w:t>
      </w:r>
      <w:r>
        <w:rPr>
          <w:rFonts w:hint="eastAsia" w:ascii="仿宋_GB2312" w:hAnsi="宋体" w:eastAsia="仿宋_GB2312"/>
          <w:b/>
          <w:bCs/>
          <w:sz w:val="28"/>
          <w:szCs w:val="28"/>
          <w:lang w:val="en-US" w:eastAsia="zh-CN"/>
        </w:rPr>
        <w:t>所有</w:t>
      </w:r>
      <w:r>
        <w:rPr>
          <w:rFonts w:hint="eastAsia" w:ascii="仿宋_GB2312" w:hAnsi="宋体" w:eastAsia="仿宋_GB2312"/>
          <w:sz w:val="28"/>
          <w:szCs w:val="28"/>
          <w:lang w:val="en-US" w:eastAsia="zh-CN"/>
        </w:rPr>
        <w:t>成绩进系统为</w:t>
      </w:r>
      <w:r>
        <w:rPr>
          <w:rFonts w:hint="eastAsia" w:ascii="仿宋_GB2312" w:hAnsi="宋体" w:eastAsia="仿宋_GB2312"/>
          <w:b/>
          <w:bCs/>
          <w:sz w:val="28"/>
          <w:szCs w:val="28"/>
          <w:lang w:val="en-US" w:eastAsia="zh-CN"/>
        </w:rPr>
        <w:t>5月25日</w:t>
      </w:r>
      <w:r>
        <w:rPr>
          <w:rFonts w:hint="eastAsia" w:ascii="仿宋_GB2312" w:hAnsi="宋体" w:eastAsia="仿宋_GB2312"/>
          <w:sz w:val="28"/>
          <w:szCs w:val="28"/>
          <w:lang w:val="en-US" w:eastAsia="zh-CN"/>
        </w:rPr>
        <w:t>，各种材料送达时间为</w:t>
      </w:r>
      <w:r>
        <w:rPr>
          <w:rFonts w:hint="eastAsia" w:ascii="仿宋_GB2312" w:hAnsi="宋体" w:eastAsia="仿宋_GB2312"/>
          <w:b/>
          <w:bCs/>
          <w:sz w:val="28"/>
          <w:szCs w:val="28"/>
          <w:lang w:val="en-US" w:eastAsia="zh-CN"/>
        </w:rPr>
        <w:t>5月31日</w:t>
      </w:r>
      <w:r>
        <w:rPr>
          <w:rFonts w:hint="eastAsia" w:ascii="仿宋_GB2312" w:hAnsi="宋体" w:eastAsia="仿宋_GB2312"/>
          <w:sz w:val="28"/>
          <w:szCs w:val="28"/>
          <w:lang w:val="en-US" w:eastAsia="zh-CN"/>
        </w:rPr>
        <w:t>。</w:t>
      </w:r>
    </w:p>
    <w:p>
      <w:pPr>
        <w:numPr>
          <w:ilvl w:val="0"/>
          <w:numId w:val="0"/>
        </w:numPr>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材料要求：1 所有纸质材料均需盖章，需要签字的请签字。</w:t>
      </w:r>
    </w:p>
    <w:p>
      <w:pPr>
        <w:numPr>
          <w:ilvl w:val="0"/>
          <w:numId w:val="0"/>
        </w:numPr>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2 所有电子材料请发送到指定邮箱。</w:t>
      </w:r>
    </w:p>
    <w:p>
      <w:pPr>
        <w:numPr>
          <w:ilvl w:val="0"/>
          <w:numId w:val="0"/>
        </w:numPr>
        <w:spacing w:line="360" w:lineRule="auto"/>
        <w:ind w:firstLine="562" w:firstLineChars="200"/>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二、教务系统操作（毕业资格审核）</w:t>
      </w:r>
    </w:p>
    <w:p>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1.点击毕业管理，默认为当前届别以及对应学院下的毕业专业。</w:t>
      </w:r>
    </w:p>
    <w:p>
      <w:pPr>
        <w:numPr>
          <w:ilvl w:val="0"/>
          <w:numId w:val="0"/>
        </w:numPr>
        <w:spacing w:line="360" w:lineRule="auto"/>
        <w:ind w:firstLine="560" w:firstLineChars="200"/>
        <w:rPr>
          <w:sz w:val="28"/>
          <w:szCs w:val="28"/>
        </w:rPr>
      </w:pPr>
      <w:r>
        <w:rPr>
          <w:rFonts w:hint="eastAsia" w:ascii="仿宋_GB2312" w:hAnsi="宋体" w:eastAsia="仿宋_GB2312"/>
          <w:sz w:val="28"/>
          <w:szCs w:val="28"/>
          <w:lang w:val="en-US" w:eastAsia="zh-CN"/>
        </w:rPr>
        <w:t>（</w:t>
      </w:r>
      <w:r>
        <w:rPr>
          <w:rFonts w:hint="eastAsia" w:ascii="仿宋" w:hAnsi="仿宋" w:eastAsia="仿宋" w:cs="仿宋"/>
          <w:sz w:val="28"/>
          <w:szCs w:val="28"/>
          <w:lang w:val="en-US" w:eastAsia="zh-CN"/>
        </w:rPr>
        <w:t>如果毕业专业不全，请及时与学籍科联系</w:t>
      </w:r>
      <w:r>
        <w:rPr>
          <w:rFonts w:hint="eastAsia" w:ascii="仿宋_GB2312" w:hAnsi="宋体" w:eastAsia="仿宋_GB2312"/>
          <w:sz w:val="28"/>
          <w:szCs w:val="28"/>
          <w:lang w:val="en-US" w:eastAsia="zh-CN"/>
        </w:rPr>
        <w:t>）</w:t>
      </w:r>
    </w:p>
    <w:p>
      <w:pPr>
        <w:numPr>
          <w:ilvl w:val="0"/>
          <w:numId w:val="0"/>
        </w:numPr>
        <w:spacing w:line="360" w:lineRule="auto"/>
        <w:rPr>
          <w:rFonts w:hint="eastAsia" w:ascii="仿宋_GB2312" w:hAnsi="宋体" w:eastAsia="仿宋_GB2312"/>
          <w:sz w:val="28"/>
          <w:szCs w:val="28"/>
          <w:lang w:val="en-US" w:eastAsia="zh-CN"/>
        </w:rPr>
      </w:pPr>
      <w:r>
        <w:rPr>
          <w:sz w:val="28"/>
          <w:szCs w:val="28"/>
        </w:rPr>
        <w:drawing>
          <wp:inline distT="0" distB="0" distL="114300" distR="114300">
            <wp:extent cx="6145530" cy="3390265"/>
            <wp:effectExtent l="0" t="0" r="762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r="30151"/>
                    <a:stretch>
                      <a:fillRect/>
                    </a:stretch>
                  </pic:blipFill>
                  <pic:spPr>
                    <a:xfrm>
                      <a:off x="0" y="0"/>
                      <a:ext cx="6145530" cy="3390265"/>
                    </a:xfrm>
                    <a:prstGeom prst="rect">
                      <a:avLst/>
                    </a:prstGeom>
                    <a:noFill/>
                    <a:ln>
                      <a:noFill/>
                    </a:ln>
                  </pic:spPr>
                </pic:pic>
              </a:graphicData>
            </a:graphic>
          </wp:inline>
        </w:drawing>
      </w:r>
    </w:p>
    <w:p>
      <w:pPr>
        <w:jc w:val="both"/>
        <w:rPr>
          <w:sz w:val="28"/>
          <w:szCs w:val="28"/>
        </w:rPr>
      </w:pPr>
    </w:p>
    <w:p>
      <w:pPr>
        <w:jc w:val="both"/>
        <w:rPr>
          <w:sz w:val="28"/>
          <w:szCs w:val="28"/>
        </w:rPr>
      </w:pPr>
    </w:p>
    <w:p>
      <w:pPr>
        <w:jc w:val="both"/>
        <w:rPr>
          <w:rFonts w:hint="eastAsia" w:ascii="仿宋" w:hAnsi="仿宋" w:eastAsia="仿宋" w:cs="仿宋"/>
          <w:sz w:val="28"/>
          <w:szCs w:val="28"/>
          <w:lang w:val="en-US" w:eastAsia="zh-CN"/>
        </w:rPr>
      </w:pPr>
      <w:r>
        <w:rPr>
          <w:sz w:val="28"/>
          <w:szCs w:val="28"/>
        </w:rPr>
        <w:drawing>
          <wp:inline distT="0" distB="0" distL="114300" distR="114300">
            <wp:extent cx="6078855" cy="33578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r="41878" b="22201"/>
                    <a:stretch>
                      <a:fillRect/>
                    </a:stretch>
                  </pic:blipFill>
                  <pic:spPr>
                    <a:xfrm>
                      <a:off x="0" y="0"/>
                      <a:ext cx="6078855" cy="3357880"/>
                    </a:xfrm>
                    <a:prstGeom prst="rect">
                      <a:avLst/>
                    </a:prstGeom>
                    <a:noFill/>
                    <a:ln>
                      <a:noFill/>
                    </a:ln>
                  </pic:spPr>
                </pic:pic>
              </a:graphicData>
            </a:graphic>
          </wp:inline>
        </w:drawing>
      </w:r>
    </w:p>
    <w:p>
      <w:pPr>
        <w:numPr>
          <w:ilvl w:val="0"/>
          <w:numId w:val="1"/>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点击学分要求管理，选择对应届别，默认查询的为本学院的毕业专业，如果没有出现专业，请点击统计。</w:t>
      </w:r>
    </w:p>
    <w:p>
      <w:pPr>
        <w:numPr>
          <w:ilvl w:val="0"/>
          <w:numId w:val="0"/>
        </w:numPr>
        <w:spacing w:line="360" w:lineRule="auto"/>
        <w:rPr>
          <w:sz w:val="28"/>
          <w:szCs w:val="28"/>
        </w:rPr>
      </w:pPr>
      <w:r>
        <w:rPr>
          <w:sz w:val="28"/>
          <w:szCs w:val="28"/>
        </w:rPr>
        <w:drawing>
          <wp:inline distT="0" distB="0" distL="114300" distR="114300">
            <wp:extent cx="6292215" cy="3957955"/>
            <wp:effectExtent l="0" t="0" r="1333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6292215" cy="3957955"/>
                    </a:xfrm>
                    <a:prstGeom prst="rect">
                      <a:avLst/>
                    </a:prstGeom>
                    <a:noFill/>
                    <a:ln>
                      <a:noFill/>
                    </a:ln>
                  </pic:spPr>
                </pic:pic>
              </a:graphicData>
            </a:graphic>
          </wp:inline>
        </w:drawing>
      </w:r>
    </w:p>
    <w:p>
      <w:pPr>
        <w:numPr>
          <w:ilvl w:val="0"/>
          <w:numId w:val="0"/>
        </w:numPr>
        <w:spacing w:line="360" w:lineRule="auto"/>
        <w:rPr>
          <w:rFonts w:hint="eastAsia"/>
          <w:sz w:val="28"/>
          <w:szCs w:val="28"/>
          <w:lang w:val="en-US" w:eastAsia="zh-CN"/>
        </w:rPr>
      </w:pPr>
    </w:p>
    <w:p>
      <w:pPr>
        <w:numPr>
          <w:ilvl w:val="0"/>
          <w:numId w:val="0"/>
        </w:numPr>
        <w:rPr>
          <w:rFonts w:hint="eastAsia"/>
          <w:sz w:val="28"/>
          <w:szCs w:val="28"/>
          <w:lang w:val="en-US" w:eastAsia="zh-CN"/>
        </w:rPr>
      </w:pPr>
      <w:r>
        <w:rPr>
          <w:sz w:val="28"/>
          <w:szCs w:val="28"/>
        </w:rPr>
        <w:drawing>
          <wp:inline distT="0" distB="0" distL="114300" distR="114300">
            <wp:extent cx="6406515" cy="3803650"/>
            <wp:effectExtent l="0" t="0" r="133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406515" cy="3803650"/>
                    </a:xfrm>
                    <a:prstGeom prst="rect">
                      <a:avLst/>
                    </a:prstGeom>
                    <a:noFill/>
                    <a:ln>
                      <a:noFill/>
                    </a:ln>
                  </pic:spPr>
                </pic:pic>
              </a:graphicData>
            </a:graphic>
          </wp:inline>
        </w:drawing>
      </w:r>
    </w:p>
    <w:p>
      <w:pPr>
        <w:numPr>
          <w:ilvl w:val="0"/>
          <w:numId w:val="1"/>
        </w:numPr>
        <w:spacing w:line="360" w:lineRule="auto"/>
        <w:ind w:left="0" w:leftChars="0" w:firstLine="0" w:firstLineChars="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每个学院按照应届毕业生各专业人才培养方案学分修读结构表和实际情况设置“毕业审查设置”条件数值（课程性质、课程属性、学分绩点、等级成绩等）。</w:t>
      </w:r>
    </w:p>
    <w:p>
      <w:pPr>
        <w:numPr>
          <w:ilvl w:val="0"/>
          <w:numId w:val="0"/>
        </w:numPr>
        <w:spacing w:line="360" w:lineRule="auto"/>
        <w:rPr>
          <w:rFonts w:hint="eastAsia" w:ascii="仿宋_GB2312" w:hAnsi="宋体" w:eastAsia="仿宋_GB2312"/>
          <w:sz w:val="28"/>
          <w:szCs w:val="28"/>
          <w:lang w:val="en-US" w:eastAsia="zh-CN"/>
        </w:rPr>
      </w:pPr>
      <w:r>
        <w:rPr>
          <w:sz w:val="28"/>
          <w:szCs w:val="28"/>
        </w:rPr>
        <w:drawing>
          <wp:inline distT="0" distB="0" distL="114300" distR="114300">
            <wp:extent cx="6356350" cy="3761740"/>
            <wp:effectExtent l="0" t="0" r="635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6356350" cy="3761740"/>
                    </a:xfrm>
                    <a:prstGeom prst="rect">
                      <a:avLst/>
                    </a:prstGeom>
                    <a:noFill/>
                    <a:ln>
                      <a:noFill/>
                    </a:ln>
                  </pic:spPr>
                </pic:pic>
              </a:graphicData>
            </a:graphic>
          </wp:inline>
        </w:drawing>
      </w:r>
    </w:p>
    <w:p>
      <w:pPr>
        <w:rPr>
          <w:rFonts w:hint="eastAsia"/>
          <w:sz w:val="28"/>
          <w:szCs w:val="28"/>
          <w:lang w:val="en-US" w:eastAsia="zh-CN"/>
        </w:rPr>
      </w:pPr>
    </w:p>
    <w:p>
      <w:pPr>
        <w:rPr>
          <w:sz w:val="28"/>
          <w:szCs w:val="28"/>
        </w:rPr>
      </w:pPr>
      <w:r>
        <w:rPr>
          <w:sz w:val="28"/>
          <w:szCs w:val="28"/>
        </w:rPr>
        <w:drawing>
          <wp:inline distT="0" distB="0" distL="114300" distR="114300">
            <wp:extent cx="6386195" cy="3832860"/>
            <wp:effectExtent l="0" t="0" r="1460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6386195" cy="3832860"/>
                    </a:xfrm>
                    <a:prstGeom prst="rect">
                      <a:avLst/>
                    </a:prstGeom>
                    <a:noFill/>
                    <a:ln>
                      <a:noFill/>
                    </a:ln>
                  </pic:spPr>
                </pic:pic>
              </a:graphicData>
            </a:graphic>
          </wp:inline>
        </w:drawing>
      </w:r>
    </w:p>
    <w:p>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4.数值设置完毕后，请点击保存。</w:t>
      </w:r>
    </w:p>
    <w:p>
      <w:pPr>
        <w:numPr>
          <w:ilvl w:val="0"/>
          <w:numId w:val="0"/>
        </w:numPr>
        <w:rPr>
          <w:rFonts w:hint="eastAsia"/>
          <w:sz w:val="28"/>
          <w:szCs w:val="28"/>
          <w:lang w:val="en-US" w:eastAsia="zh-CN"/>
        </w:rPr>
      </w:pPr>
      <w:r>
        <w:rPr>
          <w:sz w:val="28"/>
          <w:szCs w:val="28"/>
        </w:rPr>
        <w:drawing>
          <wp:inline distT="0" distB="0" distL="114300" distR="114300">
            <wp:extent cx="6164580" cy="4123690"/>
            <wp:effectExtent l="0" t="0" r="762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6164580" cy="4123690"/>
                    </a:xfrm>
                    <a:prstGeom prst="rect">
                      <a:avLst/>
                    </a:prstGeom>
                    <a:noFill/>
                    <a:ln>
                      <a:noFill/>
                    </a:ln>
                  </pic:spPr>
                </pic:pic>
              </a:graphicData>
            </a:graphic>
          </wp:inline>
        </w:drawing>
      </w:r>
    </w:p>
    <w:p>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5.点击毕业资格审查，选择“届别”-“学院”-“专业”进行查询。</w:t>
      </w:r>
    </w:p>
    <w:p>
      <w:pPr>
        <w:rPr>
          <w:sz w:val="28"/>
          <w:szCs w:val="28"/>
        </w:rPr>
      </w:pPr>
      <w:r>
        <w:rPr>
          <w:sz w:val="28"/>
          <w:szCs w:val="28"/>
        </w:rPr>
        <w:drawing>
          <wp:inline distT="0" distB="0" distL="114300" distR="114300">
            <wp:extent cx="6228080" cy="3463925"/>
            <wp:effectExtent l="0" t="0" r="1270" b="31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6228080" cy="3463925"/>
                    </a:xfrm>
                    <a:prstGeom prst="rect">
                      <a:avLst/>
                    </a:prstGeom>
                    <a:noFill/>
                    <a:ln>
                      <a:noFill/>
                    </a:ln>
                  </pic:spPr>
                </pic:pic>
              </a:graphicData>
            </a:graphic>
          </wp:inline>
        </w:drawing>
      </w:r>
    </w:p>
    <w:p>
      <w:pPr>
        <w:numPr>
          <w:ilvl w:val="0"/>
          <w:numId w:val="0"/>
        </w:numPr>
        <w:spacing w:line="360" w:lineRule="auto"/>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6.点击统计，也可进行单个勾选进行统计。</w:t>
      </w:r>
      <w:r>
        <w:rPr>
          <w:rFonts w:hint="eastAsia" w:ascii="仿宋_GB2312" w:hAnsi="宋体" w:eastAsia="仿宋_GB2312"/>
          <w:sz w:val="28"/>
          <w:szCs w:val="28"/>
          <w:lang w:val="en-US" w:eastAsia="zh-CN"/>
        </w:rPr>
        <w:br w:type="textWrapping"/>
      </w:r>
      <w:r>
        <w:rPr>
          <w:rFonts w:hint="eastAsia" w:ascii="仿宋_GB2312" w:hAnsi="宋体" w:eastAsia="仿宋_GB2312"/>
          <w:sz w:val="28"/>
          <w:szCs w:val="28"/>
          <w:lang w:val="en-US" w:eastAsia="zh-CN"/>
        </w:rPr>
        <w:t>统计：统计该专业下学生的各项修读学分情况</w:t>
      </w:r>
    </w:p>
    <w:p>
      <w:pPr>
        <w:rPr>
          <w:sz w:val="28"/>
          <w:szCs w:val="28"/>
        </w:rPr>
      </w:pPr>
      <w:r>
        <w:rPr>
          <w:sz w:val="28"/>
          <w:szCs w:val="28"/>
        </w:rPr>
        <w:drawing>
          <wp:inline distT="0" distB="0" distL="114300" distR="114300">
            <wp:extent cx="6241415" cy="3071495"/>
            <wp:effectExtent l="0" t="0" r="698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6241415" cy="3071495"/>
                    </a:xfrm>
                    <a:prstGeom prst="rect">
                      <a:avLst/>
                    </a:prstGeom>
                    <a:noFill/>
                    <a:ln>
                      <a:noFill/>
                    </a:ln>
                  </pic:spPr>
                </pic:pic>
              </a:graphicData>
            </a:graphic>
          </wp:inline>
        </w:drawing>
      </w:r>
    </w:p>
    <w:p>
      <w:pPr>
        <w:rPr>
          <w:sz w:val="28"/>
          <w:szCs w:val="28"/>
        </w:rPr>
      </w:pPr>
    </w:p>
    <w:p>
      <w:pPr>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w:t>
      </w:r>
    </w:p>
    <w:p>
      <w:pPr>
        <w:rPr>
          <w:rFonts w:hint="eastAsia" w:ascii="仿宋_GB2312" w:hAnsi="宋体" w:eastAsia="仿宋_GB2312"/>
          <w:sz w:val="28"/>
          <w:szCs w:val="28"/>
          <w:lang w:val="en-US" w:eastAsia="zh-CN"/>
        </w:rPr>
      </w:pPr>
    </w:p>
    <w:p>
      <w:pPr>
        <w:rPr>
          <w:sz w:val="28"/>
          <w:szCs w:val="28"/>
        </w:rPr>
      </w:pPr>
      <w:r>
        <w:rPr>
          <w:rFonts w:hint="eastAsia" w:ascii="仿宋_GB2312" w:hAnsi="宋体" w:eastAsia="仿宋_GB2312"/>
          <w:sz w:val="28"/>
          <w:szCs w:val="28"/>
          <w:lang w:val="en-US" w:eastAsia="zh-CN"/>
        </w:rPr>
        <w:t>7.“统计”中可进行对“学分完成情况”、“平均学分绩点统计”、“考级成绩统计”等进行设置，如勾学分完成情况统计，同时勾选下方课程分性质以确保与第3步一致，然后点击保存</w:t>
      </w:r>
      <w:r>
        <w:rPr>
          <w:rFonts w:hint="eastAsia"/>
          <w:sz w:val="28"/>
          <w:szCs w:val="28"/>
          <w:lang w:val="en-US" w:eastAsia="zh-CN"/>
        </w:rPr>
        <w:t>。</w:t>
      </w:r>
    </w:p>
    <w:p>
      <w:pPr>
        <w:rPr>
          <w:sz w:val="28"/>
          <w:szCs w:val="28"/>
        </w:rPr>
      </w:pPr>
      <w:r>
        <w:rPr>
          <w:sz w:val="28"/>
          <w:szCs w:val="28"/>
        </w:rPr>
        <w:drawing>
          <wp:inline distT="0" distB="0" distL="114300" distR="114300">
            <wp:extent cx="6229350" cy="3296285"/>
            <wp:effectExtent l="0" t="0" r="0"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rcRect b="24756"/>
                    <a:stretch>
                      <a:fillRect/>
                    </a:stretch>
                  </pic:blipFill>
                  <pic:spPr>
                    <a:xfrm>
                      <a:off x="0" y="0"/>
                      <a:ext cx="6229350" cy="329628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 xml:space="preserve">  </w:t>
      </w:r>
    </w:p>
    <w:p>
      <w:pPr>
        <w:rPr>
          <w:sz w:val="28"/>
          <w:szCs w:val="28"/>
        </w:rPr>
      </w:pPr>
      <w:r>
        <w:rPr>
          <w:sz w:val="28"/>
          <w:szCs w:val="28"/>
        </w:rPr>
        <w:drawing>
          <wp:inline distT="0" distB="0" distL="114300" distR="114300">
            <wp:extent cx="6153785" cy="3935730"/>
            <wp:effectExtent l="0" t="0" r="18415"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rcRect r="46572"/>
                    <a:stretch>
                      <a:fillRect/>
                    </a:stretch>
                  </pic:blipFill>
                  <pic:spPr>
                    <a:xfrm>
                      <a:off x="0" y="0"/>
                      <a:ext cx="6153785" cy="3935730"/>
                    </a:xfrm>
                    <a:prstGeom prst="rect">
                      <a:avLst/>
                    </a:prstGeom>
                    <a:noFill/>
                    <a:ln>
                      <a:noFill/>
                    </a:ln>
                  </pic:spPr>
                </pic:pic>
              </a:graphicData>
            </a:graphic>
          </wp:inline>
        </w:drawing>
      </w:r>
    </w:p>
    <w:p>
      <w:pPr>
        <w:rPr>
          <w:sz w:val="28"/>
          <w:szCs w:val="28"/>
        </w:rPr>
      </w:pPr>
      <w:r>
        <w:rPr>
          <w:rFonts w:hint="eastAsia" w:ascii="仿宋_GB2312" w:hAnsi="宋体" w:eastAsia="仿宋_GB2312"/>
          <w:sz w:val="28"/>
          <w:szCs w:val="28"/>
          <w:lang w:val="en-US" w:eastAsia="zh-CN"/>
        </w:rPr>
        <w:t>8.点击统计，统计完成进行确定即可。</w:t>
      </w:r>
    </w:p>
    <w:p>
      <w:pPr>
        <w:rPr>
          <w:sz w:val="28"/>
          <w:szCs w:val="28"/>
        </w:rPr>
      </w:pPr>
      <w:r>
        <w:rPr>
          <w:sz w:val="28"/>
          <w:szCs w:val="28"/>
        </w:rPr>
        <w:drawing>
          <wp:inline distT="0" distB="0" distL="114300" distR="114300">
            <wp:extent cx="6193155" cy="3615055"/>
            <wp:effectExtent l="0" t="0" r="17145"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rcRect b="24496"/>
                    <a:stretch>
                      <a:fillRect/>
                    </a:stretch>
                  </pic:blipFill>
                  <pic:spPr>
                    <a:xfrm>
                      <a:off x="0" y="0"/>
                      <a:ext cx="6193155" cy="3615055"/>
                    </a:xfrm>
                    <a:prstGeom prst="rect">
                      <a:avLst/>
                    </a:prstGeom>
                    <a:noFill/>
                    <a:ln>
                      <a:noFill/>
                    </a:ln>
                  </pic:spPr>
                </pic:pic>
              </a:graphicData>
            </a:graphic>
          </wp:inline>
        </w:drawing>
      </w:r>
    </w:p>
    <w:p>
      <w:pPr>
        <w:numPr>
          <w:ilvl w:val="0"/>
          <w:numId w:val="2"/>
        </w:numP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点击毕业审查，按照当前记录勾选“毕业资格审查”-“选择根据毕业学分要求审查”-“自动审查”。</w:t>
      </w:r>
    </w:p>
    <w:p>
      <w:pPr>
        <w:numPr>
          <w:ilvl w:val="0"/>
          <w:numId w:val="0"/>
        </w:numP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备注：根据毕业学分要求审查条件即在“学分要求管理”-“毕业审查设置”中设定的条件</w:t>
      </w:r>
    </w:p>
    <w:p>
      <w:pPr>
        <w:rPr>
          <w:sz w:val="28"/>
          <w:szCs w:val="28"/>
        </w:rPr>
      </w:pPr>
      <w:r>
        <w:rPr>
          <w:sz w:val="28"/>
          <w:szCs w:val="28"/>
        </w:rPr>
        <w:drawing>
          <wp:inline distT="0" distB="0" distL="114300" distR="114300">
            <wp:extent cx="6405245" cy="2689860"/>
            <wp:effectExtent l="0" t="0" r="14605" b="152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6405245" cy="2689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b/>
          <w:bCs/>
          <w:sz w:val="28"/>
          <w:szCs w:val="28"/>
          <w:lang w:val="en-US" w:eastAsia="zh-CN"/>
        </w:rPr>
        <w:sectPr>
          <w:footerReference r:id="rId3" w:type="default"/>
          <w:pgSz w:w="11906" w:h="16838"/>
          <w:pgMar w:top="1134" w:right="1134" w:bottom="567" w:left="1134" w:header="851" w:footer="992" w:gutter="0"/>
          <w:cols w:space="0" w:num="1"/>
          <w:rtlGutter w:val="0"/>
          <w:docGrid w:type="lines" w:linePitch="312" w:charSpace="0"/>
        </w:sectPr>
      </w:pPr>
    </w:p>
    <w:p>
      <w:pPr>
        <w:numPr>
          <w:ilvl w:val="0"/>
          <w:numId w:val="0"/>
        </w:numPr>
        <w:spacing w:line="360" w:lineRule="auto"/>
        <w:jc w:val="both"/>
        <w:rPr>
          <w:rFonts w:hint="eastAsia" w:ascii="仿宋_GB2312" w:hAnsi="宋体" w:eastAsia="仿宋_GB2312"/>
          <w:sz w:val="44"/>
          <w:szCs w:val="44"/>
          <w:lang w:val="en-US" w:eastAsia="zh-CN"/>
        </w:rPr>
      </w:pPr>
      <w:r>
        <w:rPr>
          <w:rFonts w:hint="eastAsia" w:ascii="仿宋_GB2312" w:hAnsi="宋体" w:eastAsia="仿宋_GB2312"/>
          <w:b/>
          <w:bCs/>
          <w:sz w:val="28"/>
          <w:szCs w:val="28"/>
          <w:lang w:val="en-US" w:eastAsia="zh-CN"/>
        </w:rPr>
        <w:t>三、教务系统操作（学位审核）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rFonts w:hint="eastAsia" w:ascii="仿宋_GB2312" w:hAnsi="宋体" w:eastAsia="仿宋_GB2312"/>
          <w:sz w:val="28"/>
          <w:szCs w:val="28"/>
          <w:lang w:val="en-US" w:eastAsia="zh-CN"/>
        </w:rPr>
        <w:t>1.点击毕业资格审核，然后点击统计。</w:t>
      </w:r>
      <w:r>
        <w:rPr>
          <w:sz w:val="28"/>
          <w:szCs w:val="28"/>
        </w:rPr>
        <w:drawing>
          <wp:inline distT="0" distB="0" distL="114300" distR="114300">
            <wp:extent cx="6224270" cy="2741930"/>
            <wp:effectExtent l="0" t="0" r="5080" b="127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6224270" cy="2741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2.勾选当前所有记录或者单个勾选记录，然后根据“学分完成情况”、“平均学分绩点统计”、“考级成绩统计”等进行设置统计。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①如平均学分绩点统计的话，勾选以下参与绩点统计的各课程性质，然后点击保存。（只有辅修与其他不勾选）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rFonts w:hint="eastAsia"/>
          <w:sz w:val="28"/>
          <w:szCs w:val="28"/>
        </w:rPr>
        <w:t>②</w:t>
      </w:r>
      <w:r>
        <w:rPr>
          <w:rFonts w:hint="eastAsia" w:ascii="仿宋_GB2312" w:hAnsi="宋体" w:eastAsia="仿宋_GB2312"/>
          <w:sz w:val="28"/>
          <w:szCs w:val="28"/>
          <w:lang w:val="en-US" w:eastAsia="zh-CN"/>
        </w:rPr>
        <w:t>如勾选考级成绩统计，此处调取数据较多，会要等待一会。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sz w:val="28"/>
          <w:szCs w:val="28"/>
        </w:rPr>
        <w:drawing>
          <wp:inline distT="0" distB="0" distL="114300" distR="114300">
            <wp:extent cx="5278755" cy="3392170"/>
            <wp:effectExtent l="0" t="0" r="17145" b="177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rcRect r="29026"/>
                    <a:stretch>
                      <a:fillRect/>
                    </a:stretch>
                  </pic:blipFill>
                  <pic:spPr>
                    <a:xfrm>
                      <a:off x="0" y="0"/>
                      <a:ext cx="5278755" cy="3392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3.勾选序号，点击“毕业审查”-“学位证书审查”-“选择审查条件”，然后进行点击自动审查。</w:t>
      </w:r>
    </w:p>
    <w:p>
      <w:pPr>
        <w:numPr>
          <w:ilvl w:val="0"/>
          <w:numId w:val="0"/>
        </w:numPr>
        <w:rPr>
          <w:sz w:val="28"/>
          <w:szCs w:val="28"/>
        </w:rPr>
      </w:pPr>
      <w:r>
        <w:rPr>
          <w:rFonts w:hint="eastAsia" w:ascii="仿宋_GB2312" w:hAnsi="宋体" w:eastAsia="仿宋_GB2312"/>
          <w:sz w:val="28"/>
          <w:szCs w:val="28"/>
          <w:lang w:val="en-US" w:eastAsia="zh-CN"/>
        </w:rPr>
        <w:t>备注：各学院根据各自专业选择对应的学位审查条件（“留学生”、“国家二级运动员”、“理工类”、“英语专业”、“边远地区文管商”、“边远地区理工”、“体育单招”、“国家一级运动员”、“艺体类”、“文管商”）。</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drawing>
          <wp:inline distT="0" distB="0" distL="114300" distR="114300">
            <wp:extent cx="6116955" cy="2944495"/>
            <wp:effectExtent l="0" t="0" r="17145"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6116955" cy="2944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eastAsiaTheme="minorEastAsia"/>
          <w:sz w:val="28"/>
          <w:szCs w:val="28"/>
          <w:lang w:val="en-US" w:eastAsia="zh-CN"/>
        </w:rPr>
      </w:pPr>
      <w:r>
        <w:rPr>
          <w:rFonts w:hint="eastAsia" w:ascii="仿宋_GB2312" w:hAnsi="宋体" w:eastAsia="仿宋_GB2312"/>
          <w:sz w:val="28"/>
          <w:szCs w:val="28"/>
          <w:lang w:val="en-US" w:eastAsia="zh-CN"/>
        </w:rPr>
        <w:t>5.得到结论。</w:t>
      </w:r>
    </w:p>
    <w:p>
      <w:pPr>
        <w:rPr>
          <w:rFonts w:hint="eastAsia" w:eastAsiaTheme="minorEastAsia"/>
          <w:sz w:val="28"/>
          <w:szCs w:val="28"/>
          <w:lang w:val="en-US" w:eastAsia="zh-CN"/>
        </w:rPr>
      </w:pPr>
      <w:r>
        <w:rPr>
          <w:sz w:val="28"/>
          <w:szCs w:val="28"/>
        </w:rPr>
        <w:drawing>
          <wp:inline distT="0" distB="0" distL="114300" distR="114300">
            <wp:extent cx="6242685" cy="1223645"/>
            <wp:effectExtent l="0" t="0" r="5715" b="146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1"/>
                    <a:stretch>
                      <a:fillRect/>
                    </a:stretch>
                  </pic:blipFill>
                  <pic:spPr>
                    <a:xfrm>
                      <a:off x="0" y="0"/>
                      <a:ext cx="6242685" cy="1223645"/>
                    </a:xfrm>
                    <a:prstGeom prst="rect">
                      <a:avLst/>
                    </a:prstGeom>
                    <a:noFill/>
                    <a:ln>
                      <a:noFill/>
                    </a:ln>
                  </pic:spPr>
                </pic:pic>
              </a:graphicData>
            </a:graphic>
          </wp:inline>
        </w:drawing>
      </w:r>
    </w:p>
    <w:sectPr>
      <w:pgSz w:w="11906" w:h="16838"/>
      <w:pgMar w:top="1134" w:right="1134" w:bottom="567"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4A102"/>
    <w:multiLevelType w:val="singleLevel"/>
    <w:tmpl w:val="A714A102"/>
    <w:lvl w:ilvl="0" w:tentative="0">
      <w:start w:val="9"/>
      <w:numFmt w:val="decimal"/>
      <w:lvlText w:val="%1."/>
      <w:lvlJc w:val="left"/>
      <w:pPr>
        <w:tabs>
          <w:tab w:val="left" w:pos="312"/>
        </w:tabs>
      </w:pPr>
    </w:lvl>
  </w:abstractNum>
  <w:abstractNum w:abstractNumId="1">
    <w:nsid w:val="6C400C26"/>
    <w:multiLevelType w:val="singleLevel"/>
    <w:tmpl w:val="6C400C26"/>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3NzJkMWVmNWFlMWNiZDA0OWZmMTQzZTZjMTE2ZWIifQ=="/>
  </w:docVars>
  <w:rsids>
    <w:rsidRoot w:val="00000000"/>
    <w:rsid w:val="006F2A87"/>
    <w:rsid w:val="05EC1E72"/>
    <w:rsid w:val="065C1AF9"/>
    <w:rsid w:val="075763D8"/>
    <w:rsid w:val="182B22FA"/>
    <w:rsid w:val="1C0D27DD"/>
    <w:rsid w:val="1D942D0A"/>
    <w:rsid w:val="1E80629A"/>
    <w:rsid w:val="23467CB3"/>
    <w:rsid w:val="295A608A"/>
    <w:rsid w:val="2AC034C0"/>
    <w:rsid w:val="31EE71B3"/>
    <w:rsid w:val="35CD0DA7"/>
    <w:rsid w:val="37A94D1A"/>
    <w:rsid w:val="39C9110D"/>
    <w:rsid w:val="3FD133DB"/>
    <w:rsid w:val="4307694C"/>
    <w:rsid w:val="467B68DD"/>
    <w:rsid w:val="46CE111F"/>
    <w:rsid w:val="4CB62307"/>
    <w:rsid w:val="4FE63C54"/>
    <w:rsid w:val="504001F7"/>
    <w:rsid w:val="52193E69"/>
    <w:rsid w:val="57210A50"/>
    <w:rsid w:val="5C945B9F"/>
    <w:rsid w:val="5C964B7B"/>
    <w:rsid w:val="5DB62B7C"/>
    <w:rsid w:val="64333057"/>
    <w:rsid w:val="64B64B21"/>
    <w:rsid w:val="65E62E7C"/>
    <w:rsid w:val="66974F5B"/>
    <w:rsid w:val="669A7C11"/>
    <w:rsid w:val="680416C6"/>
    <w:rsid w:val="6AD90FEF"/>
    <w:rsid w:val="71337632"/>
    <w:rsid w:val="73A23E77"/>
    <w:rsid w:val="744340C5"/>
    <w:rsid w:val="77E972B7"/>
    <w:rsid w:val="79573793"/>
    <w:rsid w:val="7C972E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1244</Words>
  <Characters>1312</Characters>
  <Lines>0</Lines>
  <Paragraphs>0</Paragraphs>
  <TotalTime>9</TotalTime>
  <ScaleCrop>false</ScaleCrop>
  <LinksUpToDate>false</LinksUpToDate>
  <CharactersWithSpaces>1346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久见</cp:lastModifiedBy>
  <cp:lastPrinted>2019-04-22T01:19:00Z</cp:lastPrinted>
  <dcterms:modified xsi:type="dcterms:W3CDTF">2024-04-28T06:18:26Z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commondata">
    <vt:lpwstr>eyJoZGlkIjoiNDg2NTU2ZjJmNjVmYWVkYTlhMzE5NGU4ZDgxYTEyYTQifQ==</vt:lpwstr>
  </property>
  <property fmtid="{D5CDD505-2E9C-101B-9397-08002B2CF9AE}" pid="4" name="ICV">
    <vt:lpwstr>961387E0EAED49BC8A797D2909B55C8B</vt:lpwstr>
  </property>
</Properties>
</file>