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202</w:t>
      </w:r>
      <w:r>
        <w:rPr>
          <w:rFonts w:ascii="华文中宋" w:hAnsi="华文中宋" w:eastAsia="华文中宋"/>
          <w:b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华文中宋" w:hAnsi="华文中宋" w:eastAsia="华文中宋"/>
          <w:b/>
          <w:color w:val="000000" w:themeColor="text1"/>
          <w:sz w:val="34"/>
          <w:szCs w:val="34"/>
          <w14:textFill>
            <w14:solidFill>
              <w14:schemeClr w14:val="tx1"/>
            </w14:solidFill>
          </w14:textFill>
        </w:rPr>
        <w:t>年江苏高校学生境外学习政府奖学金项目课程目录</w:t>
      </w:r>
    </w:p>
    <w:p>
      <w:pPr>
        <w:ind w:left="-1134" w:leftChars="-540" w:firstLine="1063" w:firstLineChars="354"/>
        <w:jc w:val="center"/>
        <w:rPr>
          <w:rFonts w:ascii="华文中宋" w:hAnsi="华文中宋" w:eastAsia="华文中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境外线上授课+澳门营地线下面授 课程名单</w:t>
      </w:r>
    </w:p>
    <w:tbl>
      <w:tblPr>
        <w:tblStyle w:val="5"/>
        <w:tblW w:w="10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3066"/>
        <w:gridCol w:w="3260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境外大学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计划在外时间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在外天数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杜克大学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全球人文与社会比较研究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人工智能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数据科学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国际商务与领导力管理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加州州立大学长滩分校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品牌设计与品牌影响力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加州州立大学长滩分校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好莱坞影视制作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牛津大学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牛津大学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商法学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剑桥大学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疾病生物学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剑桥大学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电子工程与纳米技术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剑桥大学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人力资源与市场营销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剑桥大学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环境科学政策与管理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爱丁堡大学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商务英语与媒体社交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8.1-8.14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爱丁堡大学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教育管理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.11-7.24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伦敦大学国王学院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媒体、文化与艺术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伦敦大学国王学院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商业、金融与信息管理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曼彻斯特大学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经济全球化、跨国企业管理与金融衍生品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.11-7.24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曼彻斯特大学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光机电一体化的分析与设计及信号与系统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.11-7.24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皇家威尔士音乐与戏剧学院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音乐剧与戏剧文化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多伦多大学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商务智能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多伦多大学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区块链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多伦多大学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应用心理学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英属哥伦比亚大学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城市景观课程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约克大学（加拿大）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食品安全管理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墨尔本大学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英语教育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.11-7.24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</w:tbl>
    <w:p>
      <w:pPr>
        <w:ind w:left="-1134" w:leftChars="-540" w:firstLine="743" w:firstLineChars="354"/>
        <w:jc w:val="left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left="-1134" w:leftChars="-540" w:firstLine="743" w:firstLineChars="354"/>
        <w:jc w:val="left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*表中课程及在外时间仅供参考，实际执行情况以最终正式通知为准</w:t>
      </w:r>
    </w:p>
    <w:p/>
    <w:p>
      <w:pPr>
        <w:jc w:val="center"/>
        <w:rPr>
          <w:rFonts w:ascii="华文中宋" w:hAnsi="华文中宋" w:eastAsia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/>
          <w:b/>
          <w:bCs/>
          <w:sz w:val="30"/>
          <w:szCs w:val="30"/>
        </w:rPr>
        <w:t>纯线下课程（澳门科技大学）</w:t>
      </w:r>
    </w:p>
    <w:tbl>
      <w:tblPr>
        <w:tblStyle w:val="5"/>
        <w:tblW w:w="10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3083"/>
        <w:gridCol w:w="3261"/>
        <w:gridCol w:w="1842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083" w:type="dxa"/>
            <w:vAlign w:val="center"/>
          </w:tcPr>
          <w:p>
            <w:pPr>
              <w:ind w:left="-250" w:leftChars="-119" w:firstLine="248" w:firstLineChars="103"/>
              <w:jc w:val="center"/>
              <w:rPr>
                <w:rFonts w:hint="default" w:ascii="仿宋" w:hAnsi="仿宋" w:eastAsia="仿宋"/>
                <w:b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澳门地区高校</w:t>
            </w: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计划在外时间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在外天数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传媒文化与艺术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全球人文与社会比较研究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83" w:type="dxa"/>
            <w:vAlign w:val="center"/>
          </w:tcPr>
          <w:p>
            <w:pPr>
              <w:ind w:left="-250" w:leftChars="-119" w:firstLine="249" w:firstLineChars="104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信息技术与人工智能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人力资源与市场营销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电子工程与纳米技术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商务英语与媒体社交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环境科学政策与管理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英语教育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经济全球化、跨国企业管理与金融衍生品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教育管理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商业与金融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创新中西医药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7.25-8.7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酒店与餐饮管理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7.11-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会展和旅游管理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澳门科技大学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建筑艺术和城市规划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8.8-8.21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</w:tbl>
    <w:p/>
    <w:p>
      <w:pPr>
        <w:ind w:left="-1134" w:leftChars="-540" w:firstLine="743" w:firstLineChars="354"/>
        <w:jc w:val="left"/>
        <w:rPr>
          <w:rFonts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Cs w:val="21"/>
          <w14:textFill>
            <w14:solidFill>
              <w14:schemeClr w14:val="tx1"/>
            </w14:solidFill>
          </w14:textFill>
        </w:rPr>
        <w:t>*表中课程及在外时间仅供参考，实际执行情况以最终正式通知为准</w:t>
      </w:r>
    </w:p>
    <w:p>
      <w:pPr>
        <w:ind w:right="480"/>
        <w:rPr>
          <w:rFonts w:ascii="仿宋" w:hAnsi="仿宋" w:eastAsia="仿宋"/>
          <w:sz w:val="24"/>
          <w:szCs w:val="24"/>
        </w:rPr>
      </w:pPr>
    </w:p>
    <w:sectPr>
      <w:pgSz w:w="11906" w:h="16838"/>
      <w:pgMar w:top="1361" w:right="1644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88"/>
    <w:rsid w:val="0002267F"/>
    <w:rsid w:val="00047EC3"/>
    <w:rsid w:val="00141A1C"/>
    <w:rsid w:val="0017080F"/>
    <w:rsid w:val="001A53F6"/>
    <w:rsid w:val="001C3BE8"/>
    <w:rsid w:val="002F0777"/>
    <w:rsid w:val="0030655E"/>
    <w:rsid w:val="00320949"/>
    <w:rsid w:val="00343DEC"/>
    <w:rsid w:val="0036783D"/>
    <w:rsid w:val="00377BC4"/>
    <w:rsid w:val="00387DF1"/>
    <w:rsid w:val="003C2230"/>
    <w:rsid w:val="003C284D"/>
    <w:rsid w:val="003D066B"/>
    <w:rsid w:val="00517BE2"/>
    <w:rsid w:val="00530534"/>
    <w:rsid w:val="00535E88"/>
    <w:rsid w:val="005A69FA"/>
    <w:rsid w:val="005B2161"/>
    <w:rsid w:val="00600F40"/>
    <w:rsid w:val="00661F7D"/>
    <w:rsid w:val="006A5688"/>
    <w:rsid w:val="006F6D52"/>
    <w:rsid w:val="00704A28"/>
    <w:rsid w:val="007112C3"/>
    <w:rsid w:val="007531F6"/>
    <w:rsid w:val="0075607C"/>
    <w:rsid w:val="007818DA"/>
    <w:rsid w:val="00790DD6"/>
    <w:rsid w:val="00826FC9"/>
    <w:rsid w:val="0083258D"/>
    <w:rsid w:val="008A4B88"/>
    <w:rsid w:val="00907372"/>
    <w:rsid w:val="00A0088A"/>
    <w:rsid w:val="00AC3E01"/>
    <w:rsid w:val="00AD557A"/>
    <w:rsid w:val="00B50B1C"/>
    <w:rsid w:val="00B87F6C"/>
    <w:rsid w:val="00BD0BF9"/>
    <w:rsid w:val="00C11179"/>
    <w:rsid w:val="00C12634"/>
    <w:rsid w:val="00C322D3"/>
    <w:rsid w:val="00C746BA"/>
    <w:rsid w:val="00CB7AC1"/>
    <w:rsid w:val="00CC58EE"/>
    <w:rsid w:val="00CE7189"/>
    <w:rsid w:val="00CF34FE"/>
    <w:rsid w:val="00D62FCC"/>
    <w:rsid w:val="00D76ABC"/>
    <w:rsid w:val="00D87E80"/>
    <w:rsid w:val="00E069D9"/>
    <w:rsid w:val="00EC5F39"/>
    <w:rsid w:val="00F43610"/>
    <w:rsid w:val="00F82AAC"/>
    <w:rsid w:val="00FC1076"/>
    <w:rsid w:val="20274058"/>
    <w:rsid w:val="575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1283</Characters>
  <Lines>10</Lines>
  <Paragraphs>3</Paragraphs>
  <TotalTime>17</TotalTime>
  <ScaleCrop>false</ScaleCrop>
  <LinksUpToDate>false</LinksUpToDate>
  <CharactersWithSpaces>1505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2021-04-06T01:24:00Z</dcterms:created>
  <dc:creator>杨益</dc:creator>
  <cp:lastModifiedBy>张慧中</cp:lastModifiedBy>
  <cp:lastPrinted>2019-12-05T05:51:00Z</cp:lastPrinted>
  <dcterms:modified xsi:type="dcterms:W3CDTF">2021-04-06T07:12:04Z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