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08E948">
      <w:pPr>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毕业资格与学位审核教务系统操作流程</w:t>
      </w:r>
    </w:p>
    <w:p w14:paraId="7337A3FF">
      <w:pPr>
        <w:jc w:val="center"/>
        <w:rPr>
          <w:rFonts w:hint="eastAsia" w:ascii="仿宋" w:hAnsi="仿宋" w:eastAsia="仿宋" w:cs="仿宋"/>
          <w:b/>
          <w:bCs/>
          <w:sz w:val="28"/>
          <w:szCs w:val="28"/>
          <w:lang w:val="en-US" w:eastAsia="zh-CN"/>
        </w:rPr>
      </w:pPr>
    </w:p>
    <w:p w14:paraId="49A444C4">
      <w:pPr>
        <w:numPr>
          <w:ilvl w:val="0"/>
          <w:numId w:val="0"/>
        </w:numPr>
        <w:spacing w:line="360" w:lineRule="auto"/>
        <w:ind w:firstLine="562" w:firstLineChars="200"/>
        <w:rPr>
          <w:rFonts w:hint="eastAsia" w:ascii="仿宋_GB2312" w:hAnsi="宋体" w:eastAsia="仿宋_GB2312"/>
          <w:b/>
          <w:bCs/>
          <w:sz w:val="28"/>
          <w:szCs w:val="28"/>
          <w:lang w:val="en-US" w:eastAsia="zh-CN"/>
        </w:rPr>
      </w:pPr>
      <w:r>
        <w:rPr>
          <w:rFonts w:hint="eastAsia" w:ascii="仿宋_GB2312" w:hAnsi="宋体" w:eastAsia="仿宋_GB2312"/>
          <w:b/>
          <w:bCs/>
          <w:sz w:val="28"/>
          <w:szCs w:val="28"/>
          <w:lang w:val="en-US" w:eastAsia="zh-CN"/>
        </w:rPr>
        <w:t>一、教务系统操作（毕业资格审核）</w:t>
      </w:r>
    </w:p>
    <w:p w14:paraId="18105427">
      <w:pPr>
        <w:numPr>
          <w:ilvl w:val="0"/>
          <w:numId w:val="0"/>
        </w:numPr>
        <w:spacing w:line="360" w:lineRule="auto"/>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1.点击毕业管理，默认为当前届别以及对应学院下的毕业专业。</w:t>
      </w:r>
    </w:p>
    <w:p w14:paraId="5D0E757B">
      <w:pPr>
        <w:numPr>
          <w:ilvl w:val="0"/>
          <w:numId w:val="0"/>
        </w:numPr>
        <w:spacing w:line="360" w:lineRule="auto"/>
        <w:ind w:firstLine="560" w:firstLineChars="200"/>
        <w:rPr>
          <w:sz w:val="28"/>
          <w:szCs w:val="28"/>
        </w:rPr>
      </w:pPr>
      <w:r>
        <w:rPr>
          <w:rFonts w:hint="eastAsia" w:ascii="仿宋_GB2312" w:hAnsi="宋体" w:eastAsia="仿宋_GB2312"/>
          <w:sz w:val="28"/>
          <w:szCs w:val="28"/>
          <w:lang w:val="en-US" w:eastAsia="zh-CN"/>
        </w:rPr>
        <w:t>（</w:t>
      </w:r>
      <w:r>
        <w:rPr>
          <w:rFonts w:hint="eastAsia" w:ascii="仿宋" w:hAnsi="仿宋" w:eastAsia="仿宋" w:cs="仿宋"/>
          <w:sz w:val="28"/>
          <w:szCs w:val="28"/>
          <w:lang w:val="en-US" w:eastAsia="zh-CN"/>
        </w:rPr>
        <w:t>如果毕业专业不全，请及时与学籍科联系</w:t>
      </w:r>
      <w:r>
        <w:rPr>
          <w:rFonts w:hint="eastAsia" w:ascii="仿宋_GB2312" w:hAnsi="宋体" w:eastAsia="仿宋_GB2312"/>
          <w:sz w:val="28"/>
          <w:szCs w:val="28"/>
          <w:lang w:val="en-US" w:eastAsia="zh-CN"/>
        </w:rPr>
        <w:t>）</w:t>
      </w:r>
    </w:p>
    <w:p w14:paraId="5D686FFC">
      <w:pPr>
        <w:numPr>
          <w:ilvl w:val="0"/>
          <w:numId w:val="0"/>
        </w:numPr>
        <w:spacing w:line="360" w:lineRule="auto"/>
        <w:rPr>
          <w:rFonts w:hint="eastAsia" w:ascii="仿宋_GB2312" w:hAnsi="宋体" w:eastAsia="仿宋_GB2312"/>
          <w:sz w:val="28"/>
          <w:szCs w:val="28"/>
          <w:lang w:val="en-US" w:eastAsia="zh-CN"/>
        </w:rPr>
      </w:pPr>
      <w:r>
        <w:rPr>
          <w:sz w:val="28"/>
          <w:szCs w:val="28"/>
        </w:rPr>
        <w:drawing>
          <wp:inline distT="0" distB="0" distL="114300" distR="114300">
            <wp:extent cx="6145530" cy="3390265"/>
            <wp:effectExtent l="0" t="0" r="762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r="30151"/>
                    <a:stretch>
                      <a:fillRect/>
                    </a:stretch>
                  </pic:blipFill>
                  <pic:spPr>
                    <a:xfrm>
                      <a:off x="0" y="0"/>
                      <a:ext cx="6145530" cy="3390265"/>
                    </a:xfrm>
                    <a:prstGeom prst="rect">
                      <a:avLst/>
                    </a:prstGeom>
                    <a:noFill/>
                    <a:ln>
                      <a:noFill/>
                    </a:ln>
                  </pic:spPr>
                </pic:pic>
              </a:graphicData>
            </a:graphic>
          </wp:inline>
        </w:drawing>
      </w:r>
    </w:p>
    <w:p w14:paraId="38B0BDE2">
      <w:pPr>
        <w:jc w:val="both"/>
        <w:rPr>
          <w:sz w:val="28"/>
          <w:szCs w:val="28"/>
        </w:rPr>
      </w:pPr>
    </w:p>
    <w:p w14:paraId="6C28F067">
      <w:pPr>
        <w:jc w:val="both"/>
        <w:rPr>
          <w:sz w:val="28"/>
          <w:szCs w:val="28"/>
        </w:rPr>
      </w:pPr>
    </w:p>
    <w:p w14:paraId="164D95C0">
      <w:pPr>
        <w:jc w:val="both"/>
        <w:rPr>
          <w:rFonts w:hint="eastAsia" w:ascii="仿宋" w:hAnsi="仿宋" w:eastAsia="仿宋" w:cs="仿宋"/>
          <w:sz w:val="28"/>
          <w:szCs w:val="28"/>
          <w:lang w:val="en-US" w:eastAsia="zh-CN"/>
        </w:rPr>
      </w:pPr>
      <w:r>
        <w:rPr>
          <w:sz w:val="28"/>
          <w:szCs w:val="28"/>
        </w:rPr>
        <w:drawing>
          <wp:inline distT="0" distB="0" distL="114300" distR="114300">
            <wp:extent cx="6078855" cy="33578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rcRect r="41878" b="22201"/>
                    <a:stretch>
                      <a:fillRect/>
                    </a:stretch>
                  </pic:blipFill>
                  <pic:spPr>
                    <a:xfrm>
                      <a:off x="0" y="0"/>
                      <a:ext cx="6078855" cy="3357880"/>
                    </a:xfrm>
                    <a:prstGeom prst="rect">
                      <a:avLst/>
                    </a:prstGeom>
                    <a:noFill/>
                    <a:ln>
                      <a:noFill/>
                    </a:ln>
                  </pic:spPr>
                </pic:pic>
              </a:graphicData>
            </a:graphic>
          </wp:inline>
        </w:drawing>
      </w:r>
    </w:p>
    <w:p w14:paraId="5A562E19">
      <w:pPr>
        <w:numPr>
          <w:ilvl w:val="0"/>
          <w:numId w:val="1"/>
        </w:numPr>
        <w:spacing w:line="360" w:lineRule="auto"/>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点击学分要求管理，选择对应届别，默认查询的为本学院的毕业专业，如果没有出现专业，请点击统计。</w:t>
      </w:r>
    </w:p>
    <w:p w14:paraId="24BEC64A">
      <w:pPr>
        <w:numPr>
          <w:ilvl w:val="0"/>
          <w:numId w:val="0"/>
        </w:numPr>
        <w:spacing w:line="360" w:lineRule="auto"/>
        <w:rPr>
          <w:sz w:val="28"/>
          <w:szCs w:val="28"/>
        </w:rPr>
      </w:pPr>
      <w:r>
        <w:rPr>
          <w:sz w:val="28"/>
          <w:szCs w:val="28"/>
        </w:rPr>
        <w:drawing>
          <wp:inline distT="0" distB="0" distL="114300" distR="114300">
            <wp:extent cx="6292215" cy="3957955"/>
            <wp:effectExtent l="0" t="0" r="13335"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6292215" cy="3957955"/>
                    </a:xfrm>
                    <a:prstGeom prst="rect">
                      <a:avLst/>
                    </a:prstGeom>
                    <a:noFill/>
                    <a:ln>
                      <a:noFill/>
                    </a:ln>
                  </pic:spPr>
                </pic:pic>
              </a:graphicData>
            </a:graphic>
          </wp:inline>
        </w:drawing>
      </w:r>
    </w:p>
    <w:p w14:paraId="6BE76BD3">
      <w:pPr>
        <w:numPr>
          <w:ilvl w:val="0"/>
          <w:numId w:val="0"/>
        </w:numPr>
        <w:spacing w:line="360" w:lineRule="auto"/>
        <w:rPr>
          <w:rFonts w:hint="eastAsia"/>
          <w:sz w:val="28"/>
          <w:szCs w:val="28"/>
          <w:lang w:val="en-US" w:eastAsia="zh-CN"/>
        </w:rPr>
      </w:pPr>
    </w:p>
    <w:p w14:paraId="6FC2DB6A">
      <w:pPr>
        <w:numPr>
          <w:ilvl w:val="0"/>
          <w:numId w:val="0"/>
        </w:numPr>
        <w:rPr>
          <w:rFonts w:hint="eastAsia"/>
          <w:sz w:val="28"/>
          <w:szCs w:val="28"/>
          <w:lang w:val="en-US" w:eastAsia="zh-CN"/>
        </w:rPr>
      </w:pPr>
      <w:r>
        <w:rPr>
          <w:sz w:val="28"/>
          <w:szCs w:val="28"/>
        </w:rPr>
        <w:drawing>
          <wp:inline distT="0" distB="0" distL="114300" distR="114300">
            <wp:extent cx="6406515" cy="3803650"/>
            <wp:effectExtent l="0" t="0" r="133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406515" cy="3803650"/>
                    </a:xfrm>
                    <a:prstGeom prst="rect">
                      <a:avLst/>
                    </a:prstGeom>
                    <a:noFill/>
                    <a:ln>
                      <a:noFill/>
                    </a:ln>
                  </pic:spPr>
                </pic:pic>
              </a:graphicData>
            </a:graphic>
          </wp:inline>
        </w:drawing>
      </w:r>
    </w:p>
    <w:p w14:paraId="0B3DC443">
      <w:pPr>
        <w:numPr>
          <w:ilvl w:val="0"/>
          <w:numId w:val="1"/>
        </w:numPr>
        <w:spacing w:line="360" w:lineRule="auto"/>
        <w:ind w:left="0" w:leftChars="0" w:firstLine="0" w:firstLineChars="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每个学院按照应届毕业生各专业人才培养方案学分修读结构表和实际情况设置“毕业审查设置”条件数值（课程性质、课程属性、学分绩点、等级成绩等）。</w:t>
      </w:r>
    </w:p>
    <w:p w14:paraId="4384C302">
      <w:pPr>
        <w:numPr>
          <w:ilvl w:val="0"/>
          <w:numId w:val="0"/>
        </w:numPr>
        <w:spacing w:line="360" w:lineRule="auto"/>
        <w:rPr>
          <w:rFonts w:hint="eastAsia" w:ascii="仿宋_GB2312" w:hAnsi="宋体" w:eastAsia="仿宋_GB2312"/>
          <w:sz w:val="28"/>
          <w:szCs w:val="28"/>
          <w:lang w:val="en-US" w:eastAsia="zh-CN"/>
        </w:rPr>
      </w:pPr>
      <w:r>
        <w:rPr>
          <w:sz w:val="28"/>
          <w:szCs w:val="28"/>
        </w:rPr>
        <w:drawing>
          <wp:inline distT="0" distB="0" distL="114300" distR="114300">
            <wp:extent cx="6356350" cy="3761740"/>
            <wp:effectExtent l="0" t="0" r="6350"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6356350" cy="3761740"/>
                    </a:xfrm>
                    <a:prstGeom prst="rect">
                      <a:avLst/>
                    </a:prstGeom>
                    <a:noFill/>
                    <a:ln>
                      <a:noFill/>
                    </a:ln>
                  </pic:spPr>
                </pic:pic>
              </a:graphicData>
            </a:graphic>
          </wp:inline>
        </w:drawing>
      </w:r>
    </w:p>
    <w:p w14:paraId="136C429D">
      <w:pPr>
        <w:rPr>
          <w:rFonts w:hint="eastAsia"/>
          <w:sz w:val="28"/>
          <w:szCs w:val="28"/>
          <w:lang w:val="en-US" w:eastAsia="zh-CN"/>
        </w:rPr>
      </w:pPr>
    </w:p>
    <w:p w14:paraId="58EE935C">
      <w:pPr>
        <w:rPr>
          <w:sz w:val="28"/>
          <w:szCs w:val="28"/>
        </w:rPr>
      </w:pPr>
      <w:r>
        <w:rPr>
          <w:sz w:val="28"/>
          <w:szCs w:val="28"/>
        </w:rPr>
        <w:drawing>
          <wp:inline distT="0" distB="0" distL="114300" distR="114300">
            <wp:extent cx="6386195" cy="3832860"/>
            <wp:effectExtent l="0" t="0" r="1460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6386195" cy="3832860"/>
                    </a:xfrm>
                    <a:prstGeom prst="rect">
                      <a:avLst/>
                    </a:prstGeom>
                    <a:noFill/>
                    <a:ln>
                      <a:noFill/>
                    </a:ln>
                  </pic:spPr>
                </pic:pic>
              </a:graphicData>
            </a:graphic>
          </wp:inline>
        </w:drawing>
      </w:r>
    </w:p>
    <w:p w14:paraId="70B88530">
      <w:pPr>
        <w:numPr>
          <w:ilvl w:val="0"/>
          <w:numId w:val="0"/>
        </w:numPr>
        <w:spacing w:line="360" w:lineRule="auto"/>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4.数值设置完毕后，请点击保存。</w:t>
      </w:r>
    </w:p>
    <w:p w14:paraId="01D4BB0D">
      <w:pPr>
        <w:numPr>
          <w:ilvl w:val="0"/>
          <w:numId w:val="0"/>
        </w:numPr>
        <w:rPr>
          <w:rFonts w:hint="eastAsia"/>
          <w:sz w:val="28"/>
          <w:szCs w:val="28"/>
          <w:lang w:val="en-US" w:eastAsia="zh-CN"/>
        </w:rPr>
      </w:pPr>
      <w:r>
        <w:rPr>
          <w:sz w:val="28"/>
          <w:szCs w:val="28"/>
        </w:rPr>
        <w:drawing>
          <wp:inline distT="0" distB="0" distL="114300" distR="114300">
            <wp:extent cx="6164580" cy="4123690"/>
            <wp:effectExtent l="0" t="0" r="7620"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6164580" cy="4123690"/>
                    </a:xfrm>
                    <a:prstGeom prst="rect">
                      <a:avLst/>
                    </a:prstGeom>
                    <a:noFill/>
                    <a:ln>
                      <a:noFill/>
                    </a:ln>
                  </pic:spPr>
                </pic:pic>
              </a:graphicData>
            </a:graphic>
          </wp:inline>
        </w:drawing>
      </w:r>
    </w:p>
    <w:p w14:paraId="2A1F4958">
      <w:pPr>
        <w:numPr>
          <w:ilvl w:val="0"/>
          <w:numId w:val="0"/>
        </w:numPr>
        <w:spacing w:line="360" w:lineRule="auto"/>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5.点击毕业资格审查，选择“届别”-“学院”-“专业”进行查询。</w:t>
      </w:r>
    </w:p>
    <w:p w14:paraId="4751469A">
      <w:pPr>
        <w:rPr>
          <w:sz w:val="28"/>
          <w:szCs w:val="28"/>
        </w:rPr>
      </w:pPr>
      <w:r>
        <w:rPr>
          <w:sz w:val="28"/>
          <w:szCs w:val="28"/>
        </w:rPr>
        <w:drawing>
          <wp:inline distT="0" distB="0" distL="114300" distR="114300">
            <wp:extent cx="6228080" cy="3463925"/>
            <wp:effectExtent l="0" t="0" r="1270" b="317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6228080" cy="3463925"/>
                    </a:xfrm>
                    <a:prstGeom prst="rect">
                      <a:avLst/>
                    </a:prstGeom>
                    <a:noFill/>
                    <a:ln>
                      <a:noFill/>
                    </a:ln>
                  </pic:spPr>
                </pic:pic>
              </a:graphicData>
            </a:graphic>
          </wp:inline>
        </w:drawing>
      </w:r>
    </w:p>
    <w:p w14:paraId="50866B53">
      <w:pPr>
        <w:numPr>
          <w:ilvl w:val="0"/>
          <w:numId w:val="0"/>
        </w:numPr>
        <w:spacing w:line="360" w:lineRule="auto"/>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6.点击统计，也可进行单个勾选进行统计。</w:t>
      </w:r>
      <w:r>
        <w:rPr>
          <w:rFonts w:hint="eastAsia" w:ascii="仿宋_GB2312" w:hAnsi="宋体" w:eastAsia="仿宋_GB2312"/>
          <w:sz w:val="28"/>
          <w:szCs w:val="28"/>
          <w:lang w:val="en-US" w:eastAsia="zh-CN"/>
        </w:rPr>
        <w:br w:type="textWrapping"/>
      </w:r>
      <w:r>
        <w:rPr>
          <w:rFonts w:hint="eastAsia" w:ascii="仿宋_GB2312" w:hAnsi="宋体" w:eastAsia="仿宋_GB2312"/>
          <w:sz w:val="28"/>
          <w:szCs w:val="28"/>
          <w:lang w:val="en-US" w:eastAsia="zh-CN"/>
        </w:rPr>
        <w:t>统计：统计该专业下学生的各项修读学分情况</w:t>
      </w:r>
    </w:p>
    <w:p w14:paraId="3CDB53F3">
      <w:pPr>
        <w:rPr>
          <w:sz w:val="28"/>
          <w:szCs w:val="28"/>
        </w:rPr>
      </w:pPr>
      <w:r>
        <w:rPr>
          <w:sz w:val="28"/>
          <w:szCs w:val="28"/>
        </w:rPr>
        <w:drawing>
          <wp:inline distT="0" distB="0" distL="114300" distR="114300">
            <wp:extent cx="6241415" cy="3071495"/>
            <wp:effectExtent l="0" t="0" r="6985" b="146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6241415" cy="3071495"/>
                    </a:xfrm>
                    <a:prstGeom prst="rect">
                      <a:avLst/>
                    </a:prstGeom>
                    <a:noFill/>
                    <a:ln>
                      <a:noFill/>
                    </a:ln>
                  </pic:spPr>
                </pic:pic>
              </a:graphicData>
            </a:graphic>
          </wp:inline>
        </w:drawing>
      </w:r>
    </w:p>
    <w:p w14:paraId="29FDC327">
      <w:pPr>
        <w:rPr>
          <w:sz w:val="28"/>
          <w:szCs w:val="28"/>
        </w:rPr>
      </w:pPr>
    </w:p>
    <w:p w14:paraId="361D2E75">
      <w:pPr>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w:t>
      </w:r>
    </w:p>
    <w:p w14:paraId="62BD1080">
      <w:pPr>
        <w:rPr>
          <w:rFonts w:hint="eastAsia" w:ascii="仿宋_GB2312" w:hAnsi="宋体" w:eastAsia="仿宋_GB2312"/>
          <w:sz w:val="28"/>
          <w:szCs w:val="28"/>
          <w:lang w:val="en-US" w:eastAsia="zh-CN"/>
        </w:rPr>
      </w:pPr>
    </w:p>
    <w:p w14:paraId="49199C1F">
      <w:pPr>
        <w:rPr>
          <w:sz w:val="28"/>
          <w:szCs w:val="28"/>
        </w:rPr>
      </w:pPr>
      <w:r>
        <w:rPr>
          <w:rFonts w:hint="eastAsia" w:ascii="仿宋_GB2312" w:hAnsi="宋体" w:eastAsia="仿宋_GB2312"/>
          <w:sz w:val="28"/>
          <w:szCs w:val="28"/>
          <w:lang w:val="en-US" w:eastAsia="zh-CN"/>
        </w:rPr>
        <w:t>7.“统计”中可进行对“学分完成情况”、“平均学分绩点统计”、“考级成绩统计”等进行设置，如勾学分完成情况统计，同时勾选下方课程分性质以确保与第3步一致，然后点击保存</w:t>
      </w:r>
      <w:r>
        <w:rPr>
          <w:rFonts w:hint="eastAsia"/>
          <w:sz w:val="28"/>
          <w:szCs w:val="28"/>
          <w:lang w:val="en-US" w:eastAsia="zh-CN"/>
        </w:rPr>
        <w:t>。</w:t>
      </w:r>
    </w:p>
    <w:p w14:paraId="7FD592DD">
      <w:pPr>
        <w:rPr>
          <w:sz w:val="28"/>
          <w:szCs w:val="28"/>
        </w:rPr>
      </w:pPr>
      <w:r>
        <w:rPr>
          <w:sz w:val="28"/>
          <w:szCs w:val="28"/>
        </w:rPr>
        <w:drawing>
          <wp:inline distT="0" distB="0" distL="114300" distR="114300">
            <wp:extent cx="6229350" cy="3296285"/>
            <wp:effectExtent l="0" t="0" r="0" b="1841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rcRect b="24756"/>
                    <a:stretch>
                      <a:fillRect/>
                    </a:stretch>
                  </pic:blipFill>
                  <pic:spPr>
                    <a:xfrm>
                      <a:off x="0" y="0"/>
                      <a:ext cx="6229350" cy="3296285"/>
                    </a:xfrm>
                    <a:prstGeom prst="rect">
                      <a:avLst/>
                    </a:prstGeom>
                    <a:noFill/>
                    <a:ln>
                      <a:noFill/>
                    </a:ln>
                  </pic:spPr>
                </pic:pic>
              </a:graphicData>
            </a:graphic>
          </wp:inline>
        </w:drawing>
      </w:r>
    </w:p>
    <w:p w14:paraId="250AC467">
      <w:pPr>
        <w:rPr>
          <w:rFonts w:hint="eastAsia"/>
          <w:sz w:val="28"/>
          <w:szCs w:val="28"/>
          <w:lang w:val="en-US" w:eastAsia="zh-CN"/>
        </w:rPr>
      </w:pPr>
      <w:r>
        <w:rPr>
          <w:rFonts w:hint="eastAsia"/>
          <w:sz w:val="28"/>
          <w:szCs w:val="28"/>
          <w:lang w:val="en-US" w:eastAsia="zh-CN"/>
        </w:rPr>
        <w:t xml:space="preserve">  </w:t>
      </w:r>
    </w:p>
    <w:p w14:paraId="227E9A0F">
      <w:pPr>
        <w:rPr>
          <w:sz w:val="28"/>
          <w:szCs w:val="28"/>
        </w:rPr>
      </w:pPr>
      <w:r>
        <w:rPr>
          <w:sz w:val="28"/>
          <w:szCs w:val="28"/>
        </w:rPr>
        <w:drawing>
          <wp:inline distT="0" distB="0" distL="114300" distR="114300">
            <wp:extent cx="6153785" cy="3935730"/>
            <wp:effectExtent l="0" t="0" r="18415" b="762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rcRect r="46572"/>
                    <a:stretch>
                      <a:fillRect/>
                    </a:stretch>
                  </pic:blipFill>
                  <pic:spPr>
                    <a:xfrm>
                      <a:off x="0" y="0"/>
                      <a:ext cx="6153785" cy="3935730"/>
                    </a:xfrm>
                    <a:prstGeom prst="rect">
                      <a:avLst/>
                    </a:prstGeom>
                    <a:noFill/>
                    <a:ln>
                      <a:noFill/>
                    </a:ln>
                  </pic:spPr>
                </pic:pic>
              </a:graphicData>
            </a:graphic>
          </wp:inline>
        </w:drawing>
      </w:r>
    </w:p>
    <w:p w14:paraId="39E0B113">
      <w:pPr>
        <w:rPr>
          <w:sz w:val="28"/>
          <w:szCs w:val="28"/>
        </w:rPr>
      </w:pPr>
      <w:r>
        <w:rPr>
          <w:rFonts w:hint="eastAsia" w:ascii="仿宋_GB2312" w:hAnsi="宋体" w:eastAsia="仿宋_GB2312"/>
          <w:sz w:val="28"/>
          <w:szCs w:val="28"/>
          <w:lang w:val="en-US" w:eastAsia="zh-CN"/>
        </w:rPr>
        <w:t>8.点击统计，统计完成进行确定即可。</w:t>
      </w:r>
    </w:p>
    <w:p w14:paraId="5B0157A1">
      <w:pPr>
        <w:rPr>
          <w:sz w:val="28"/>
          <w:szCs w:val="28"/>
        </w:rPr>
      </w:pPr>
      <w:r>
        <w:rPr>
          <w:sz w:val="28"/>
          <w:szCs w:val="28"/>
        </w:rPr>
        <w:drawing>
          <wp:inline distT="0" distB="0" distL="114300" distR="114300">
            <wp:extent cx="6193155" cy="3615055"/>
            <wp:effectExtent l="0" t="0" r="17145" b="444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rcRect b="24496"/>
                    <a:stretch>
                      <a:fillRect/>
                    </a:stretch>
                  </pic:blipFill>
                  <pic:spPr>
                    <a:xfrm>
                      <a:off x="0" y="0"/>
                      <a:ext cx="6193155" cy="3615055"/>
                    </a:xfrm>
                    <a:prstGeom prst="rect">
                      <a:avLst/>
                    </a:prstGeom>
                    <a:noFill/>
                    <a:ln>
                      <a:noFill/>
                    </a:ln>
                  </pic:spPr>
                </pic:pic>
              </a:graphicData>
            </a:graphic>
          </wp:inline>
        </w:drawing>
      </w:r>
    </w:p>
    <w:p w14:paraId="5FE6E055">
      <w:pPr>
        <w:numPr>
          <w:ilvl w:val="0"/>
          <w:numId w:val="2"/>
        </w:numP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点击毕业审查，按照当前记录勾选“毕业资格审查”-“选择根据毕业学分要求审查”-“自动审查”。</w:t>
      </w:r>
    </w:p>
    <w:p w14:paraId="71EBC309">
      <w:pPr>
        <w:numPr>
          <w:ilvl w:val="0"/>
          <w:numId w:val="0"/>
        </w:numP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备注：根据毕业学分要求审查条件即在“学分要求管理”-“毕业审查设置”中设定的条件，</w:t>
      </w:r>
      <w:r>
        <w:rPr>
          <w:rFonts w:hint="eastAsia" w:ascii="仿宋_GB2312" w:hAnsi="宋体" w:eastAsia="仿宋_GB2312"/>
          <w:b/>
          <w:bCs/>
          <w:sz w:val="28"/>
          <w:szCs w:val="28"/>
          <w:lang w:val="en-US" w:eastAsia="zh-CN"/>
        </w:rPr>
        <w:t>同时选“覆盖方式”，勾选“按照学生所属培养方案进行审查”。</w:t>
      </w:r>
    </w:p>
    <w:p w14:paraId="0876A8D3">
      <w:pPr>
        <w:rPr>
          <w:sz w:val="28"/>
          <w:szCs w:val="28"/>
        </w:rPr>
      </w:pPr>
      <w:r>
        <w:rPr>
          <w:sz w:val="28"/>
          <w:szCs w:val="28"/>
        </w:rPr>
        <w:drawing>
          <wp:inline distT="0" distB="0" distL="114300" distR="114300">
            <wp:extent cx="6405245" cy="2689860"/>
            <wp:effectExtent l="0" t="0" r="14605" b="1524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stretch>
                      <a:fillRect/>
                    </a:stretch>
                  </pic:blipFill>
                  <pic:spPr>
                    <a:xfrm>
                      <a:off x="0" y="0"/>
                      <a:ext cx="6405245" cy="2689860"/>
                    </a:xfrm>
                    <a:prstGeom prst="rect">
                      <a:avLst/>
                    </a:prstGeom>
                    <a:noFill/>
                    <a:ln>
                      <a:noFill/>
                    </a:ln>
                  </pic:spPr>
                </pic:pic>
              </a:graphicData>
            </a:graphic>
          </wp:inline>
        </w:drawing>
      </w:r>
    </w:p>
    <w:p w14:paraId="6C06931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b/>
          <w:bCs/>
          <w:sz w:val="28"/>
          <w:szCs w:val="28"/>
          <w:lang w:val="en-US" w:eastAsia="zh-CN"/>
        </w:rPr>
        <w:sectPr>
          <w:footerReference r:id="rId3" w:type="default"/>
          <w:pgSz w:w="11906" w:h="16838"/>
          <w:pgMar w:top="1134" w:right="1134" w:bottom="567" w:left="1134" w:header="851" w:footer="992" w:gutter="0"/>
          <w:cols w:space="0" w:num="1"/>
          <w:rtlGutter w:val="0"/>
          <w:docGrid w:type="lines" w:linePitch="312" w:charSpace="0"/>
        </w:sectPr>
      </w:pPr>
    </w:p>
    <w:p w14:paraId="4A0E88D8">
      <w:pPr>
        <w:numPr>
          <w:ilvl w:val="0"/>
          <w:numId w:val="0"/>
        </w:numPr>
        <w:spacing w:line="360" w:lineRule="auto"/>
        <w:jc w:val="both"/>
        <w:rPr>
          <w:rFonts w:hint="eastAsia" w:ascii="仿宋_GB2312" w:hAnsi="宋体" w:eastAsia="仿宋_GB2312"/>
          <w:sz w:val="44"/>
          <w:szCs w:val="44"/>
          <w:lang w:val="en-US" w:eastAsia="zh-CN"/>
        </w:rPr>
      </w:pPr>
      <w:r>
        <w:rPr>
          <w:rFonts w:hint="eastAsia" w:ascii="仿宋_GB2312" w:hAnsi="宋体" w:eastAsia="仿宋_GB2312"/>
          <w:b/>
          <w:bCs/>
          <w:sz w:val="28"/>
          <w:szCs w:val="28"/>
          <w:lang w:val="en-US" w:eastAsia="zh-CN"/>
        </w:rPr>
        <w:t>二、教务系统操作（学位审核）</w:t>
      </w:r>
    </w:p>
    <w:p w14:paraId="294C6F5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sz w:val="28"/>
          <w:szCs w:val="28"/>
        </w:rPr>
      </w:pPr>
      <w:r>
        <w:rPr>
          <w:rFonts w:hint="eastAsia" w:ascii="仿宋_GB2312" w:hAnsi="宋体" w:eastAsia="仿宋_GB2312"/>
          <w:sz w:val="28"/>
          <w:szCs w:val="28"/>
          <w:lang w:val="en-US" w:eastAsia="zh-CN"/>
        </w:rPr>
        <w:t>1.点击毕业资格审核，然后点击统计。</w:t>
      </w:r>
      <w:bookmarkStart w:id="0" w:name="_GoBack"/>
      <w:r>
        <w:rPr>
          <w:sz w:val="28"/>
          <w:szCs w:val="28"/>
        </w:rPr>
        <w:drawing>
          <wp:inline distT="0" distB="0" distL="114300" distR="114300">
            <wp:extent cx="6224270" cy="2741930"/>
            <wp:effectExtent l="0" t="0" r="5080" b="127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8"/>
                    <a:stretch>
                      <a:fillRect/>
                    </a:stretch>
                  </pic:blipFill>
                  <pic:spPr>
                    <a:xfrm>
                      <a:off x="0" y="0"/>
                      <a:ext cx="6224270" cy="2741930"/>
                    </a:xfrm>
                    <a:prstGeom prst="rect">
                      <a:avLst/>
                    </a:prstGeom>
                    <a:noFill/>
                    <a:ln>
                      <a:noFill/>
                    </a:ln>
                  </pic:spPr>
                </pic:pic>
              </a:graphicData>
            </a:graphic>
          </wp:inline>
        </w:drawing>
      </w:r>
      <w:bookmarkEnd w:id="0"/>
    </w:p>
    <w:p w14:paraId="3E128A5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2.勾选当前所有记录或者单个勾选记录，然后根据“学分完成情况”、“平均学分绩点统计”、“考级成绩统计”等进行设置统计。</w:t>
      </w:r>
    </w:p>
    <w:p w14:paraId="210387E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①如平均学分绩点统计的话，勾选以下参与绩点统计的各课程性质，然后点击保存。（只有辅修与其他不勾选）</w:t>
      </w:r>
    </w:p>
    <w:p w14:paraId="2244586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sz w:val="28"/>
          <w:szCs w:val="28"/>
        </w:rPr>
      </w:pPr>
      <w:r>
        <w:rPr>
          <w:rFonts w:hint="eastAsia"/>
          <w:sz w:val="28"/>
          <w:szCs w:val="28"/>
        </w:rPr>
        <w:t>②</w:t>
      </w:r>
      <w:r>
        <w:rPr>
          <w:rFonts w:hint="eastAsia" w:ascii="仿宋_GB2312" w:hAnsi="宋体" w:eastAsia="仿宋_GB2312"/>
          <w:sz w:val="28"/>
          <w:szCs w:val="28"/>
          <w:lang w:val="en-US" w:eastAsia="zh-CN"/>
        </w:rPr>
        <w:t>如勾选考级成绩统计，此处调取数据较多，会要等待一会。</w:t>
      </w:r>
    </w:p>
    <w:p w14:paraId="0E51439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sz w:val="28"/>
          <w:szCs w:val="28"/>
        </w:rPr>
      </w:pPr>
      <w:r>
        <w:rPr>
          <w:sz w:val="28"/>
          <w:szCs w:val="28"/>
        </w:rPr>
        <w:drawing>
          <wp:inline distT="0" distB="0" distL="114300" distR="114300">
            <wp:extent cx="5278755" cy="3392170"/>
            <wp:effectExtent l="0" t="0" r="17145" b="1778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9"/>
                    <a:srcRect r="29026"/>
                    <a:stretch>
                      <a:fillRect/>
                    </a:stretch>
                  </pic:blipFill>
                  <pic:spPr>
                    <a:xfrm>
                      <a:off x="0" y="0"/>
                      <a:ext cx="5278755" cy="3392170"/>
                    </a:xfrm>
                    <a:prstGeom prst="rect">
                      <a:avLst/>
                    </a:prstGeom>
                    <a:noFill/>
                    <a:ln>
                      <a:noFill/>
                    </a:ln>
                  </pic:spPr>
                </pic:pic>
              </a:graphicData>
            </a:graphic>
          </wp:inline>
        </w:drawing>
      </w:r>
    </w:p>
    <w:p w14:paraId="75A20C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left"/>
        <w:textAlignment w:val="auto"/>
        <w:outlineLvl w:val="9"/>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3.勾选序号，点击“毕业审查”-“学位证书审查”-“选择审查条件”，然后进行点击自动审查。</w:t>
      </w:r>
    </w:p>
    <w:p w14:paraId="15E815A6">
      <w:pPr>
        <w:numPr>
          <w:ilvl w:val="0"/>
          <w:numId w:val="0"/>
        </w:numPr>
        <w:rPr>
          <w:sz w:val="28"/>
          <w:szCs w:val="28"/>
        </w:rPr>
      </w:pPr>
      <w:r>
        <w:rPr>
          <w:rFonts w:hint="eastAsia" w:ascii="仿宋_GB2312" w:hAnsi="宋体" w:eastAsia="仿宋_GB2312"/>
          <w:sz w:val="28"/>
          <w:szCs w:val="28"/>
          <w:lang w:val="en-US" w:eastAsia="zh-CN"/>
        </w:rPr>
        <w:t>备注：各学院根据各自专业选择对应的学位审查条件（“留学生”、“国家二级运动员”、“理工类”、“英语专业”、“边远地区文管商”、“边远地区理工”、“体育单招”、“国家一级运动员”、“艺体类”、“文管商”）。</w:t>
      </w:r>
    </w:p>
    <w:p w14:paraId="134E405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sz w:val="28"/>
          <w:szCs w:val="28"/>
        </w:rPr>
      </w:pPr>
      <w:r>
        <w:drawing>
          <wp:inline distT="0" distB="0" distL="114300" distR="114300">
            <wp:extent cx="6116955" cy="2944495"/>
            <wp:effectExtent l="0" t="0" r="17145"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0"/>
                    <a:stretch>
                      <a:fillRect/>
                    </a:stretch>
                  </pic:blipFill>
                  <pic:spPr>
                    <a:xfrm>
                      <a:off x="0" y="0"/>
                      <a:ext cx="6116955" cy="2944495"/>
                    </a:xfrm>
                    <a:prstGeom prst="rect">
                      <a:avLst/>
                    </a:prstGeom>
                    <a:noFill/>
                    <a:ln>
                      <a:noFill/>
                    </a:ln>
                  </pic:spPr>
                </pic:pic>
              </a:graphicData>
            </a:graphic>
          </wp:inline>
        </w:drawing>
      </w:r>
    </w:p>
    <w:p w14:paraId="3DEFD0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eastAsiaTheme="minorEastAsia"/>
          <w:sz w:val="28"/>
          <w:szCs w:val="28"/>
          <w:lang w:val="en-US" w:eastAsia="zh-CN"/>
        </w:rPr>
      </w:pPr>
      <w:r>
        <w:rPr>
          <w:rFonts w:hint="eastAsia" w:ascii="仿宋_GB2312" w:hAnsi="宋体" w:eastAsia="仿宋_GB2312"/>
          <w:sz w:val="28"/>
          <w:szCs w:val="28"/>
          <w:lang w:val="en-US" w:eastAsia="zh-CN"/>
        </w:rPr>
        <w:t>5.得到结论。</w:t>
      </w:r>
    </w:p>
    <w:p w14:paraId="6E8BBEDE">
      <w:pPr>
        <w:rPr>
          <w:rFonts w:hint="eastAsia" w:eastAsiaTheme="minorEastAsia"/>
          <w:sz w:val="28"/>
          <w:szCs w:val="28"/>
          <w:lang w:val="en-US" w:eastAsia="zh-CN"/>
        </w:rPr>
      </w:pPr>
      <w:r>
        <w:rPr>
          <w:sz w:val="28"/>
          <w:szCs w:val="28"/>
        </w:rPr>
        <w:drawing>
          <wp:inline distT="0" distB="0" distL="114300" distR="114300">
            <wp:extent cx="6242685" cy="1223645"/>
            <wp:effectExtent l="0" t="0" r="5715" b="1460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1"/>
                    <a:stretch>
                      <a:fillRect/>
                    </a:stretch>
                  </pic:blipFill>
                  <pic:spPr>
                    <a:xfrm>
                      <a:off x="0" y="0"/>
                      <a:ext cx="6242685" cy="1223645"/>
                    </a:xfrm>
                    <a:prstGeom prst="rect">
                      <a:avLst/>
                    </a:prstGeom>
                    <a:noFill/>
                    <a:ln>
                      <a:noFill/>
                    </a:ln>
                  </pic:spPr>
                </pic:pic>
              </a:graphicData>
            </a:graphic>
          </wp:inline>
        </w:drawing>
      </w:r>
    </w:p>
    <w:sectPr>
      <w:pgSz w:w="11906" w:h="16838"/>
      <w:pgMar w:top="1134" w:right="1134" w:bottom="567"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5EA43">
    <w:pPr>
      <w:pStyle w:val="2"/>
    </w:pPr>
  </w:p>
  <w:p w14:paraId="2CE79B9E">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105A2">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93105A2">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14A102"/>
    <w:multiLevelType w:val="singleLevel"/>
    <w:tmpl w:val="A714A102"/>
    <w:lvl w:ilvl="0" w:tentative="0">
      <w:start w:val="9"/>
      <w:numFmt w:val="decimal"/>
      <w:lvlText w:val="%1."/>
      <w:lvlJc w:val="left"/>
      <w:pPr>
        <w:tabs>
          <w:tab w:val="left" w:pos="312"/>
        </w:tabs>
      </w:pPr>
    </w:lvl>
  </w:abstractNum>
  <w:abstractNum w:abstractNumId="1">
    <w:nsid w:val="6C400C26"/>
    <w:multiLevelType w:val="singleLevel"/>
    <w:tmpl w:val="6C400C26"/>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wNWMwN2Y5NTU2MGZlNWVmOGQ0YTEwN2UyMjdjZDgifQ=="/>
  </w:docVars>
  <w:rsids>
    <w:rsidRoot w:val="00000000"/>
    <w:rsid w:val="006F2A87"/>
    <w:rsid w:val="05EC1E72"/>
    <w:rsid w:val="065C1AF9"/>
    <w:rsid w:val="075763D8"/>
    <w:rsid w:val="182B22FA"/>
    <w:rsid w:val="1C0D27DD"/>
    <w:rsid w:val="1D942D0A"/>
    <w:rsid w:val="1E80629A"/>
    <w:rsid w:val="23467CB3"/>
    <w:rsid w:val="25171674"/>
    <w:rsid w:val="295A608A"/>
    <w:rsid w:val="2AC034C0"/>
    <w:rsid w:val="31EE71B3"/>
    <w:rsid w:val="35CD0DA7"/>
    <w:rsid w:val="37A94D1A"/>
    <w:rsid w:val="39C9110D"/>
    <w:rsid w:val="3FD133DB"/>
    <w:rsid w:val="4307694C"/>
    <w:rsid w:val="467B68DD"/>
    <w:rsid w:val="46CE111F"/>
    <w:rsid w:val="4C806DA3"/>
    <w:rsid w:val="4CB62307"/>
    <w:rsid w:val="4FE63C54"/>
    <w:rsid w:val="504001F7"/>
    <w:rsid w:val="504C4498"/>
    <w:rsid w:val="52193E69"/>
    <w:rsid w:val="56E041F2"/>
    <w:rsid w:val="57210A50"/>
    <w:rsid w:val="5C945B9F"/>
    <w:rsid w:val="5C964B7B"/>
    <w:rsid w:val="5DB62B7C"/>
    <w:rsid w:val="64333057"/>
    <w:rsid w:val="64B64B21"/>
    <w:rsid w:val="65E62E7C"/>
    <w:rsid w:val="66974F5B"/>
    <w:rsid w:val="669A7C11"/>
    <w:rsid w:val="680416C6"/>
    <w:rsid w:val="6AD90FEF"/>
    <w:rsid w:val="71337632"/>
    <w:rsid w:val="71AD013E"/>
    <w:rsid w:val="73A23E77"/>
    <w:rsid w:val="744340C5"/>
    <w:rsid w:val="77E972B7"/>
    <w:rsid w:val="79573793"/>
    <w:rsid w:val="7C972EF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1514</Words>
  <Characters>1557</Characters>
  <Lines>0</Lines>
  <Paragraphs>0</Paragraphs>
  <TotalTime>9</TotalTime>
  <ScaleCrop>false</ScaleCrop>
  <LinksUpToDate>false</LinksUpToDate>
  <CharactersWithSpaces>1583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一直很安静</cp:lastModifiedBy>
  <cp:lastPrinted>2019-04-22T01:19:00Z</cp:lastPrinted>
  <dcterms:modified xsi:type="dcterms:W3CDTF">2026-04-15T07:50:36Z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commondata">
    <vt:lpwstr>eyJoZGlkIjoiNDg2NTU2ZjJmNjVmYWVkYTlhMzE5NGU4ZDgxYTEyYTQifQ==</vt:lpwstr>
  </property>
  <property fmtid="{D5CDD505-2E9C-101B-9397-08002B2CF9AE}" pid="4" name="ICV">
    <vt:lpwstr>961387E0EAED49BC8A797D2909B55C8B</vt:lpwstr>
  </property>
  <property fmtid="{D5CDD505-2E9C-101B-9397-08002B2CF9AE}" pid="5" name="KSOTemplateDocerSaveRecord">
    <vt:lpwstr>eyJoZGlkIjoiZDgwNWMwN2Y5NTU2MGZlNWVmOGQ0YTEwN2UyMjdjZDgiLCJ1c2VySWQiOiI2NTQ1MTMxODIifQ==</vt:lpwstr>
  </property>
</Properties>
</file>